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8F3515">
      <w:pPr>
        <w:pStyle w:val="4"/>
        <w:keepNext w:val="0"/>
        <w:keepLines w:val="0"/>
        <w:pageBreakBefore w:val="0"/>
        <w:widowControl/>
        <w:shd w:val="clear" w:color="auto" w:fill="FFFFFF"/>
        <w:kinsoku/>
        <w:wordWrap/>
        <w:overflowPunct/>
        <w:topLinePunct w:val="0"/>
        <w:autoSpaceDE/>
        <w:autoSpaceDN/>
        <w:bidi w:val="0"/>
        <w:adjustRightInd/>
        <w:snapToGrid w:val="0"/>
        <w:spacing w:before="0" w:beforeAutospacing="0" w:after="0" w:afterAutospacing="0" w:line="300" w:lineRule="auto"/>
        <w:jc w:val="center"/>
        <w:textAlignment w:val="auto"/>
        <w:rPr>
          <w:rFonts w:hint="eastAsia" w:ascii="微软雅黑" w:hAnsi="微软雅黑" w:eastAsia="微软雅黑"/>
          <w:b/>
          <w:bCs/>
          <w:color w:val="333333"/>
          <w:sz w:val="30"/>
          <w:szCs w:val="30"/>
        </w:rPr>
      </w:pPr>
      <w:r>
        <w:rPr>
          <w:rFonts w:hint="eastAsia" w:ascii="微软雅黑" w:hAnsi="微软雅黑" w:eastAsia="微软雅黑"/>
          <w:b/>
          <w:bCs/>
          <w:color w:val="333333"/>
          <w:sz w:val="30"/>
          <w:szCs w:val="30"/>
        </w:rPr>
        <w:t>关于《横峰县</w:t>
      </w:r>
      <w:r>
        <w:rPr>
          <w:rFonts w:hint="eastAsia" w:ascii="微软雅黑" w:hAnsi="微软雅黑" w:eastAsia="微软雅黑"/>
          <w:b/>
          <w:bCs/>
          <w:color w:val="333333"/>
          <w:sz w:val="30"/>
          <w:szCs w:val="30"/>
          <w:lang w:val="en-US" w:eastAsia="zh-CN"/>
        </w:rPr>
        <w:t>姚家</w:t>
      </w:r>
      <w:r>
        <w:rPr>
          <w:rFonts w:hint="eastAsia" w:ascii="微软雅黑" w:hAnsi="微软雅黑" w:eastAsia="微软雅黑"/>
          <w:b/>
          <w:bCs/>
          <w:color w:val="333333"/>
          <w:sz w:val="30"/>
          <w:szCs w:val="30"/>
        </w:rPr>
        <w:t>乡城镇开发边界内部分地块详细规划》</w:t>
      </w:r>
    </w:p>
    <w:p w14:paraId="7A6224FF">
      <w:pPr>
        <w:pStyle w:val="4"/>
        <w:keepNext w:val="0"/>
        <w:keepLines w:val="0"/>
        <w:pageBreakBefore w:val="0"/>
        <w:widowControl/>
        <w:shd w:val="clear" w:color="auto" w:fill="FFFFFF"/>
        <w:kinsoku/>
        <w:wordWrap/>
        <w:overflowPunct/>
        <w:topLinePunct w:val="0"/>
        <w:autoSpaceDE/>
        <w:autoSpaceDN/>
        <w:bidi w:val="0"/>
        <w:adjustRightInd/>
        <w:snapToGrid w:val="0"/>
        <w:spacing w:before="0" w:beforeAutospacing="0" w:after="157" w:afterLines="50" w:afterAutospacing="0" w:line="360" w:lineRule="auto"/>
        <w:jc w:val="center"/>
        <w:textAlignment w:val="auto"/>
        <w:rPr>
          <w:rFonts w:hint="eastAsia" w:ascii="微软雅黑" w:hAnsi="微软雅黑" w:eastAsia="微软雅黑"/>
          <w:b/>
          <w:bCs/>
          <w:color w:val="333333"/>
          <w:sz w:val="30"/>
          <w:szCs w:val="30"/>
        </w:rPr>
      </w:pPr>
      <w:r>
        <w:rPr>
          <w:rFonts w:hint="eastAsia" w:ascii="微软雅黑" w:hAnsi="微软雅黑" w:eastAsia="微软雅黑"/>
          <w:b/>
          <w:bCs/>
          <w:color w:val="333333"/>
          <w:sz w:val="30"/>
          <w:szCs w:val="30"/>
        </w:rPr>
        <w:t>的</w:t>
      </w:r>
      <w:r>
        <w:rPr>
          <w:rFonts w:hint="eastAsia" w:ascii="微软雅黑" w:hAnsi="微软雅黑" w:eastAsia="微软雅黑"/>
          <w:b/>
          <w:bCs/>
          <w:color w:val="333333"/>
          <w:sz w:val="30"/>
          <w:szCs w:val="30"/>
          <w:lang w:val="en-US" w:eastAsia="zh-CN"/>
        </w:rPr>
        <w:t>起草</w:t>
      </w:r>
      <w:r>
        <w:rPr>
          <w:rFonts w:hint="eastAsia" w:ascii="微软雅黑" w:hAnsi="微软雅黑" w:eastAsia="微软雅黑"/>
          <w:b/>
          <w:bCs/>
          <w:color w:val="333333"/>
          <w:sz w:val="30"/>
          <w:szCs w:val="30"/>
        </w:rPr>
        <w:t>说明</w:t>
      </w:r>
    </w:p>
    <w:p w14:paraId="09549C55">
      <w:pPr>
        <w:pStyle w:val="9"/>
        <w:keepNext w:val="0"/>
        <w:keepLines w:val="0"/>
        <w:pageBreakBefore w:val="0"/>
        <w:widowControl w:val="0"/>
        <w:kinsoku/>
        <w:wordWrap/>
        <w:overflowPunct/>
        <w:topLinePunct w:val="0"/>
        <w:autoSpaceDE/>
        <w:autoSpaceDN/>
        <w:bidi w:val="0"/>
        <w:adjustRightInd w:val="0"/>
        <w:snapToGrid w:val="0"/>
        <w:spacing w:before="157" w:beforeLines="50" w:afterLines="0" w:line="360" w:lineRule="auto"/>
        <w:ind w:firstLine="600"/>
        <w:textAlignment w:val="auto"/>
        <w:rPr>
          <w:rFonts w:hint="eastAsia" w:ascii="Times New Roman" w:hAnsi="Times New Roman"/>
          <w:sz w:val="28"/>
          <w:szCs w:val="28"/>
          <w:lang w:val="en-US" w:eastAsia="zh-CN"/>
        </w:rPr>
      </w:pPr>
      <w:r>
        <w:rPr>
          <w:rFonts w:hint="eastAsia" w:ascii="Times New Roman" w:hAnsi="Times New Roman"/>
          <w:sz w:val="28"/>
          <w:szCs w:val="28"/>
          <w:lang w:val="en-US" w:eastAsia="zh-CN"/>
        </w:rPr>
        <w:t>为贯彻落实</w:t>
      </w:r>
      <w:r>
        <w:rPr>
          <w:rFonts w:hint="eastAsia" w:ascii="Times New Roman" w:hAnsi="Times New Roman"/>
          <w:sz w:val="28"/>
          <w:szCs w:val="28"/>
        </w:rPr>
        <w:t>中共中央国务院《关于建立国土空间规划体系并监督实施的若干意见》</w:t>
      </w:r>
      <w:r>
        <w:rPr>
          <w:rFonts w:hint="eastAsia" w:ascii="Times New Roman" w:hAnsi="Times New Roman"/>
          <w:sz w:val="28"/>
          <w:szCs w:val="28"/>
          <w:lang w:eastAsia="zh-CN"/>
        </w:rPr>
        <w:t>的</w:t>
      </w:r>
      <w:r>
        <w:rPr>
          <w:rFonts w:hint="eastAsia" w:ascii="Times New Roman" w:hAnsi="Times New Roman"/>
          <w:sz w:val="28"/>
          <w:szCs w:val="28"/>
        </w:rPr>
        <w:t>要求</w:t>
      </w:r>
      <w:r>
        <w:rPr>
          <w:rFonts w:hint="eastAsia" w:ascii="Times New Roman" w:hAnsi="Times New Roman"/>
          <w:sz w:val="28"/>
          <w:szCs w:val="28"/>
          <w:lang w:eastAsia="zh-CN"/>
        </w:rPr>
        <w:t>，</w:t>
      </w:r>
      <w:r>
        <w:rPr>
          <w:rFonts w:hint="eastAsia" w:ascii="Times New Roman" w:hAnsi="Times New Roman"/>
          <w:sz w:val="28"/>
          <w:szCs w:val="28"/>
          <w:lang w:val="en-US" w:eastAsia="zh-CN"/>
        </w:rPr>
        <w:t>按照</w:t>
      </w:r>
      <w:r>
        <w:rPr>
          <w:rFonts w:hint="eastAsia" w:ascii="Times New Roman" w:hAnsi="Times New Roman"/>
          <w:sz w:val="28"/>
          <w:szCs w:val="28"/>
        </w:rPr>
        <w:t>江西省自然资源厅印发</w:t>
      </w:r>
      <w:r>
        <w:rPr>
          <w:rFonts w:hint="eastAsia" w:ascii="Times New Roman" w:hAnsi="Times New Roman"/>
          <w:sz w:val="28"/>
          <w:szCs w:val="28"/>
          <w:lang w:eastAsia="zh-CN"/>
        </w:rPr>
        <w:t>的</w:t>
      </w:r>
      <w:r>
        <w:rPr>
          <w:rFonts w:hint="eastAsia" w:ascii="Times New Roman" w:hAnsi="Times New Roman"/>
          <w:sz w:val="28"/>
          <w:szCs w:val="28"/>
        </w:rPr>
        <w:t>《江西省城市规划管理技术导则（2024版）》</w:t>
      </w:r>
      <w:r>
        <w:rPr>
          <w:rFonts w:hint="eastAsia" w:ascii="Times New Roman" w:hAnsi="Times New Roman"/>
          <w:sz w:val="28"/>
          <w:szCs w:val="28"/>
          <w:lang w:val="en-US" w:eastAsia="zh-CN"/>
        </w:rPr>
        <w:t>和《</w:t>
      </w:r>
      <w:r>
        <w:rPr>
          <w:rFonts w:hint="eastAsia" w:ascii="Times New Roman" w:hAnsi="Times New Roman"/>
          <w:sz w:val="28"/>
          <w:szCs w:val="28"/>
        </w:rPr>
        <w:t>江西省城镇开发边界内详细规划编制技术指南（试行）</w:t>
      </w:r>
      <w:r>
        <w:rPr>
          <w:rFonts w:hint="eastAsia" w:ascii="Times New Roman" w:hAnsi="Times New Roman"/>
          <w:sz w:val="28"/>
          <w:szCs w:val="28"/>
          <w:lang w:val="en-US" w:eastAsia="zh-CN"/>
        </w:rPr>
        <w:t>》等，我局制定了《横峰县姚家乡城镇开发边界内部分地块详细规划</w:t>
      </w:r>
      <w:r>
        <w:rPr>
          <w:rFonts w:hint="eastAsia" w:ascii="Times New Roman" w:hAnsi="Times New Roman"/>
          <w:sz w:val="28"/>
          <w:szCs w:val="28"/>
        </w:rPr>
        <w:t>）</w:t>
      </w:r>
      <w:r>
        <w:rPr>
          <w:rFonts w:hint="eastAsia" w:ascii="Times New Roman" w:hAnsi="Times New Roman"/>
          <w:sz w:val="28"/>
          <w:szCs w:val="28"/>
          <w:lang w:val="en-US" w:eastAsia="zh-CN"/>
        </w:rPr>
        <w:t>》（以下简称《规划》）</w:t>
      </w:r>
      <w:r>
        <w:rPr>
          <w:rFonts w:hint="eastAsia" w:ascii="Times New Roman" w:hAnsi="Times New Roman"/>
          <w:sz w:val="28"/>
          <w:szCs w:val="28"/>
        </w:rPr>
        <w:t>，</w:t>
      </w:r>
      <w:r>
        <w:rPr>
          <w:rFonts w:hint="eastAsia" w:ascii="Times New Roman" w:hAnsi="Times New Roman"/>
          <w:sz w:val="28"/>
          <w:szCs w:val="28"/>
          <w:lang w:val="en-US" w:eastAsia="zh-CN"/>
        </w:rPr>
        <w:t>现将起草情况说明如下：</w:t>
      </w:r>
    </w:p>
    <w:p w14:paraId="60E9B5F5">
      <w:pPr>
        <w:pStyle w:val="4"/>
        <w:keepNext w:val="0"/>
        <w:keepLines w:val="0"/>
        <w:pageBreakBefore w:val="0"/>
        <w:widowControl/>
        <w:numPr>
          <w:ilvl w:val="0"/>
          <w:numId w:val="1"/>
        </w:numPr>
        <w:shd w:val="clear" w:color="auto" w:fill="FFFFFF"/>
        <w:kinsoku/>
        <w:wordWrap/>
        <w:overflowPunct/>
        <w:topLinePunct w:val="0"/>
        <w:autoSpaceDE/>
        <w:autoSpaceDN/>
        <w:bidi w:val="0"/>
        <w:adjustRightInd/>
        <w:snapToGrid w:val="0"/>
        <w:spacing w:before="0" w:beforeAutospacing="0" w:after="0" w:afterAutospacing="0" w:line="360" w:lineRule="auto"/>
        <w:jc w:val="both"/>
        <w:textAlignment w:val="auto"/>
        <w:rPr>
          <w:rStyle w:val="7"/>
          <w:rFonts w:hint="eastAsia" w:ascii="微软雅黑" w:hAnsi="微软雅黑" w:eastAsia="微软雅黑"/>
          <w:color w:val="333333"/>
          <w:sz w:val="28"/>
          <w:szCs w:val="28"/>
          <w:lang w:val="en-US" w:eastAsia="zh-CN"/>
        </w:rPr>
      </w:pPr>
      <w:r>
        <w:rPr>
          <w:rStyle w:val="7"/>
          <w:rFonts w:hint="eastAsia" w:ascii="微软雅黑" w:hAnsi="微软雅黑" w:eastAsia="微软雅黑"/>
          <w:color w:val="333333"/>
          <w:sz w:val="28"/>
          <w:szCs w:val="28"/>
          <w:lang w:val="en-US" w:eastAsia="zh-CN"/>
        </w:rPr>
        <w:t>制定依据</w:t>
      </w:r>
    </w:p>
    <w:p w14:paraId="365D1686">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rPr>
      </w:pPr>
      <w:bookmarkStart w:id="0" w:name="_Toc66897363"/>
      <w:r>
        <w:rPr>
          <w:rFonts w:hint="eastAsia" w:ascii="Times New Roman" w:hAnsi="Times New Roman"/>
          <w:sz w:val="28"/>
          <w:szCs w:val="28"/>
        </w:rPr>
        <w:t>1.《中华人民共和国土地管理法》（2019年修订）；</w:t>
      </w:r>
    </w:p>
    <w:p w14:paraId="78DE7BDC">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rPr>
      </w:pPr>
      <w:r>
        <w:rPr>
          <w:rFonts w:hint="eastAsia" w:ascii="Times New Roman" w:hAnsi="Times New Roman"/>
          <w:sz w:val="28"/>
          <w:szCs w:val="28"/>
        </w:rPr>
        <w:t>2.《中华人民共和国城乡规划法》（2019年修正）；</w:t>
      </w:r>
    </w:p>
    <w:p w14:paraId="3AACB5E2">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rPr>
      </w:pPr>
      <w:r>
        <w:rPr>
          <w:rFonts w:hint="eastAsia" w:ascii="Times New Roman" w:hAnsi="Times New Roman"/>
          <w:sz w:val="28"/>
          <w:szCs w:val="28"/>
        </w:rPr>
        <w:t>3.《中共中央 国务院关于建立国土空间规划体系并监督实施的若干意见》（中发〔2019〕18号）；</w:t>
      </w:r>
    </w:p>
    <w:p w14:paraId="52D992B2">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rPr>
      </w:pPr>
      <w:r>
        <w:rPr>
          <w:rFonts w:hint="eastAsia" w:ascii="Times New Roman" w:hAnsi="Times New Roman"/>
          <w:sz w:val="28"/>
          <w:szCs w:val="28"/>
        </w:rPr>
        <w:t>4.《自然资源部关于加强国土空间详细规划工作的通知》（自然资发〔2023〕43号）；</w:t>
      </w:r>
    </w:p>
    <w:p w14:paraId="52B989A0">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rPr>
      </w:pPr>
      <w:r>
        <w:rPr>
          <w:rFonts w:hint="eastAsia" w:ascii="Times New Roman" w:hAnsi="Times New Roman"/>
          <w:sz w:val="28"/>
          <w:szCs w:val="28"/>
        </w:rPr>
        <w:t>5.《江西省自然资源厅关于做好城镇开发边界内控制性详细规划编制管理工作的通知》（2022.08）；</w:t>
      </w:r>
    </w:p>
    <w:p w14:paraId="1F0CB9D9">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rPr>
      </w:pPr>
      <w:r>
        <w:rPr>
          <w:rFonts w:hint="eastAsia" w:ascii="Times New Roman" w:hAnsi="Times New Roman"/>
          <w:sz w:val="28"/>
          <w:szCs w:val="28"/>
        </w:rPr>
        <w:t>6.《国土空间调查、规划、用途管制用地用海分类指南》（2023.11）；</w:t>
      </w:r>
    </w:p>
    <w:p w14:paraId="68D3946E">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rPr>
      </w:pPr>
      <w:r>
        <w:rPr>
          <w:rFonts w:hint="eastAsia" w:ascii="Times New Roman" w:hAnsi="Times New Roman"/>
          <w:sz w:val="28"/>
          <w:szCs w:val="28"/>
        </w:rPr>
        <w:t>7《江西省城市规划管理技术导则（2024版）》；</w:t>
      </w:r>
    </w:p>
    <w:p w14:paraId="3FECCC6D">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rPr>
      </w:pPr>
      <w:r>
        <w:rPr>
          <w:rFonts w:hint="eastAsia" w:ascii="Times New Roman" w:hAnsi="Times New Roman"/>
          <w:sz w:val="28"/>
          <w:szCs w:val="28"/>
        </w:rPr>
        <w:t>8.《江西省城镇开发边界内详细规划编制技术指南（试行）》（2024.03）；</w:t>
      </w:r>
    </w:p>
    <w:p w14:paraId="1D4CB54E">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rPr>
      </w:pPr>
      <w:r>
        <w:rPr>
          <w:rFonts w:hint="eastAsia" w:ascii="Times New Roman" w:hAnsi="Times New Roman"/>
          <w:sz w:val="28"/>
          <w:szCs w:val="28"/>
        </w:rPr>
        <w:t>9.《江西省城镇开发边界内详细规划编制成果电子数据提交标准（试行）》（2024.03）；</w:t>
      </w:r>
    </w:p>
    <w:p w14:paraId="41CD06B3">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rPr>
      </w:pPr>
      <w:r>
        <w:rPr>
          <w:rFonts w:hint="eastAsia" w:ascii="Times New Roman" w:hAnsi="Times New Roman"/>
          <w:sz w:val="28"/>
          <w:szCs w:val="28"/>
        </w:rPr>
        <w:t>10.《江西省城镇开发边界管理实施细则（试行）》（2024.04）；</w:t>
      </w:r>
    </w:p>
    <w:p w14:paraId="2640BD01">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rPr>
      </w:pPr>
      <w:r>
        <w:rPr>
          <w:rFonts w:hint="eastAsia" w:ascii="Times New Roman" w:hAnsi="Times New Roman"/>
          <w:sz w:val="28"/>
          <w:szCs w:val="28"/>
        </w:rPr>
        <w:t>1</w:t>
      </w:r>
      <w:r>
        <w:rPr>
          <w:rFonts w:hint="eastAsia" w:ascii="Times New Roman" w:hAnsi="Times New Roman"/>
          <w:sz w:val="28"/>
          <w:szCs w:val="28"/>
          <w:lang w:val="en-US" w:eastAsia="zh-CN"/>
        </w:rPr>
        <w:t>1</w:t>
      </w:r>
      <w:r>
        <w:rPr>
          <w:rFonts w:hint="eastAsia" w:ascii="Times New Roman" w:hAnsi="Times New Roman"/>
          <w:sz w:val="28"/>
          <w:szCs w:val="28"/>
        </w:rPr>
        <w:t>.《江西省建设用地指标（2025）》；</w:t>
      </w:r>
    </w:p>
    <w:p w14:paraId="0590B0C8">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rPr>
      </w:pPr>
      <w:r>
        <w:rPr>
          <w:rFonts w:hint="eastAsia" w:ascii="Times New Roman" w:hAnsi="Times New Roman"/>
          <w:sz w:val="28"/>
          <w:szCs w:val="28"/>
        </w:rPr>
        <w:t>1</w:t>
      </w:r>
      <w:r>
        <w:rPr>
          <w:rFonts w:hint="eastAsia" w:ascii="Times New Roman" w:hAnsi="Times New Roman"/>
          <w:sz w:val="28"/>
          <w:szCs w:val="28"/>
          <w:lang w:val="en-US" w:eastAsia="zh-CN"/>
        </w:rPr>
        <w:t>2</w:t>
      </w:r>
      <w:r>
        <w:rPr>
          <w:rFonts w:hint="eastAsia" w:ascii="Times New Roman" w:hAnsi="Times New Roman"/>
          <w:sz w:val="28"/>
          <w:szCs w:val="28"/>
        </w:rPr>
        <w:t>.《横峰县</w:t>
      </w:r>
      <w:r>
        <w:rPr>
          <w:rFonts w:hint="eastAsia" w:ascii="Times New Roman" w:hAnsi="Times New Roman"/>
          <w:sz w:val="28"/>
          <w:szCs w:val="28"/>
          <w:lang w:val="en-US" w:eastAsia="zh-CN"/>
        </w:rPr>
        <w:t>姚家</w:t>
      </w:r>
      <w:r>
        <w:rPr>
          <w:rFonts w:hint="eastAsia" w:ascii="Times New Roman" w:hAnsi="Times New Roman"/>
          <w:sz w:val="28"/>
          <w:szCs w:val="28"/>
        </w:rPr>
        <w:t>乡国土空间总体规划（2021-2035年）》(送审稿)；</w:t>
      </w:r>
    </w:p>
    <w:p w14:paraId="18A73247">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rPr>
      </w:pPr>
      <w:r>
        <w:rPr>
          <w:rFonts w:hint="eastAsia" w:ascii="Times New Roman" w:hAnsi="Times New Roman"/>
          <w:sz w:val="28"/>
          <w:szCs w:val="28"/>
        </w:rPr>
        <w:t>1</w:t>
      </w:r>
      <w:r>
        <w:rPr>
          <w:rFonts w:hint="eastAsia" w:ascii="Times New Roman" w:hAnsi="Times New Roman"/>
          <w:sz w:val="28"/>
          <w:szCs w:val="28"/>
          <w:lang w:val="en-US" w:eastAsia="zh-CN"/>
        </w:rPr>
        <w:t>3</w:t>
      </w:r>
      <w:r>
        <w:rPr>
          <w:rFonts w:hint="eastAsia" w:ascii="Times New Roman" w:hAnsi="Times New Roman"/>
          <w:sz w:val="28"/>
          <w:szCs w:val="28"/>
        </w:rPr>
        <w:t>.其他法规、政策文件、技术标准及相关专项规划等。</w:t>
      </w:r>
      <w:bookmarkEnd w:id="0"/>
    </w:p>
    <w:p w14:paraId="323F5AC0">
      <w:pPr>
        <w:pStyle w:val="4"/>
        <w:keepNext w:val="0"/>
        <w:keepLines w:val="0"/>
        <w:pageBreakBefore w:val="0"/>
        <w:widowControl/>
        <w:numPr>
          <w:ilvl w:val="0"/>
          <w:numId w:val="1"/>
        </w:numPr>
        <w:shd w:val="clear" w:color="auto" w:fill="FFFFFF"/>
        <w:kinsoku/>
        <w:wordWrap/>
        <w:overflowPunct/>
        <w:topLinePunct w:val="0"/>
        <w:autoSpaceDE/>
        <w:autoSpaceDN/>
        <w:bidi w:val="0"/>
        <w:adjustRightInd/>
        <w:snapToGrid w:val="0"/>
        <w:spacing w:before="0" w:beforeAutospacing="0" w:after="0" w:afterAutospacing="0" w:line="360" w:lineRule="auto"/>
        <w:jc w:val="both"/>
        <w:textAlignment w:val="auto"/>
        <w:rPr>
          <w:rStyle w:val="7"/>
          <w:rFonts w:hint="eastAsia" w:ascii="微软雅黑" w:hAnsi="微软雅黑" w:eastAsia="微软雅黑" w:cstheme="minorBidi"/>
          <w:color w:val="333333"/>
          <w:sz w:val="28"/>
          <w:szCs w:val="28"/>
          <w:lang w:val="en-US" w:eastAsia="zh-CN"/>
        </w:rPr>
      </w:pPr>
      <w:r>
        <w:rPr>
          <w:rStyle w:val="7"/>
          <w:rFonts w:hint="eastAsia" w:ascii="微软雅黑" w:hAnsi="微软雅黑" w:eastAsia="微软雅黑" w:cstheme="minorBidi"/>
          <w:color w:val="333333"/>
          <w:sz w:val="28"/>
          <w:szCs w:val="28"/>
          <w:lang w:val="en-US" w:eastAsia="zh-CN"/>
        </w:rPr>
        <w:t>起草过程</w:t>
      </w:r>
    </w:p>
    <w:p w14:paraId="084D7202">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lang w:val="en-US" w:eastAsia="zh-CN"/>
        </w:rPr>
      </w:pPr>
      <w:r>
        <w:rPr>
          <w:rFonts w:hint="eastAsia" w:ascii="Times New Roman" w:hAnsi="Times New Roman"/>
          <w:sz w:val="28"/>
          <w:szCs w:val="28"/>
        </w:rPr>
        <w:t>202</w:t>
      </w:r>
      <w:r>
        <w:rPr>
          <w:rFonts w:hint="eastAsia" w:ascii="Times New Roman" w:hAnsi="Times New Roman"/>
          <w:sz w:val="28"/>
          <w:szCs w:val="28"/>
          <w:lang w:val="en-US" w:eastAsia="zh-CN"/>
        </w:rPr>
        <w:t>5年9月启动《规划》编制，开展了实地踏勘和部门对接。</w:t>
      </w:r>
    </w:p>
    <w:p w14:paraId="26EB8EEC">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lang w:val="en-US" w:eastAsia="zh-CN"/>
        </w:rPr>
      </w:pPr>
      <w:r>
        <w:rPr>
          <w:rFonts w:hint="eastAsia" w:ascii="Times New Roman" w:hAnsi="Times New Roman"/>
          <w:sz w:val="28"/>
          <w:szCs w:val="28"/>
          <w:lang w:val="en-US" w:eastAsia="zh-CN"/>
        </w:rPr>
        <w:t>2025年10月14日，与县规划中心进行沟通。</w:t>
      </w:r>
    </w:p>
    <w:p w14:paraId="5F31F645">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default" w:ascii="Times New Roman" w:hAnsi="Times New Roman" w:eastAsia="仿宋_GB2312"/>
          <w:sz w:val="28"/>
          <w:szCs w:val="28"/>
          <w:lang w:val="en-US" w:eastAsia="zh-CN"/>
        </w:rPr>
      </w:pPr>
      <w:r>
        <w:rPr>
          <w:rFonts w:hint="eastAsia" w:ascii="Times New Roman" w:hAnsi="Times New Roman"/>
          <w:sz w:val="28"/>
          <w:szCs w:val="28"/>
          <w:lang w:val="en-US" w:eastAsia="zh-CN"/>
        </w:rPr>
        <w:t>2025年10月23日，向县规划中心、姚家乡进行汇报。</w:t>
      </w:r>
    </w:p>
    <w:p w14:paraId="6752DAE9">
      <w:pPr>
        <w:pStyle w:val="4"/>
        <w:keepNext w:val="0"/>
        <w:keepLines w:val="0"/>
        <w:pageBreakBefore w:val="0"/>
        <w:widowControl/>
        <w:numPr>
          <w:ilvl w:val="0"/>
          <w:numId w:val="1"/>
        </w:numPr>
        <w:shd w:val="clear" w:color="auto" w:fill="FFFFFF"/>
        <w:kinsoku/>
        <w:wordWrap/>
        <w:overflowPunct/>
        <w:topLinePunct w:val="0"/>
        <w:autoSpaceDE/>
        <w:autoSpaceDN/>
        <w:bidi w:val="0"/>
        <w:adjustRightInd/>
        <w:snapToGrid w:val="0"/>
        <w:spacing w:before="157" w:beforeLines="50" w:beforeAutospacing="0" w:after="0" w:afterAutospacing="0" w:line="360" w:lineRule="auto"/>
        <w:jc w:val="both"/>
        <w:textAlignment w:val="auto"/>
        <w:rPr>
          <w:rStyle w:val="7"/>
          <w:rFonts w:hint="eastAsia" w:ascii="微软雅黑" w:hAnsi="微软雅黑" w:eastAsia="微软雅黑" w:cstheme="minorBidi"/>
          <w:color w:val="333333"/>
          <w:sz w:val="28"/>
          <w:szCs w:val="28"/>
          <w:lang w:val="en-US" w:eastAsia="zh-CN"/>
        </w:rPr>
      </w:pPr>
      <w:r>
        <w:rPr>
          <w:rStyle w:val="7"/>
          <w:rFonts w:hint="eastAsia" w:ascii="微软雅黑" w:hAnsi="微软雅黑" w:eastAsia="微软雅黑" w:cstheme="minorBidi"/>
          <w:color w:val="333333"/>
          <w:sz w:val="28"/>
          <w:szCs w:val="28"/>
          <w:lang w:val="en-US" w:eastAsia="zh-CN"/>
        </w:rPr>
        <w:t>主要内容</w:t>
      </w:r>
    </w:p>
    <w:p w14:paraId="1F8CD25D">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lang w:val="en-US" w:eastAsia="zh-CN"/>
        </w:rPr>
      </w:pPr>
      <w:r>
        <w:rPr>
          <w:rFonts w:hint="eastAsia" w:ascii="Times New Roman" w:hAnsi="Times New Roman"/>
          <w:sz w:val="28"/>
          <w:szCs w:val="28"/>
          <w:lang w:val="en-US" w:eastAsia="zh-CN"/>
        </w:rPr>
        <w:t>《规划》成果包括法定文件（文本、图则）和技术文件（说明、图集）两部分组成。</w:t>
      </w:r>
    </w:p>
    <w:p w14:paraId="0414D4EC">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lang w:val="en-US" w:eastAsia="zh-CN"/>
        </w:rPr>
      </w:pPr>
      <w:r>
        <w:rPr>
          <w:rFonts w:hint="eastAsia" w:ascii="Times New Roman" w:hAnsi="Times New Roman"/>
          <w:sz w:val="28"/>
          <w:szCs w:val="28"/>
          <w:lang w:val="en-US" w:eastAsia="zh-CN"/>
        </w:rPr>
        <w:t>文本共六章二十五条，主要内容如下：</w:t>
      </w:r>
    </w:p>
    <w:p w14:paraId="2E391057">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lang w:val="en-US" w:eastAsia="zh-CN"/>
        </w:rPr>
      </w:pPr>
      <w:r>
        <w:rPr>
          <w:rFonts w:hint="eastAsia" w:ascii="Times New Roman" w:hAnsi="Times New Roman"/>
          <w:sz w:val="28"/>
          <w:szCs w:val="28"/>
          <w:lang w:val="en-US" w:eastAsia="zh-CN"/>
        </w:rPr>
        <w:t>（一）规划总则。明确了规划编制的目的、依据、范围和上位规划传导等。</w:t>
      </w:r>
    </w:p>
    <w:p w14:paraId="52E9B65E">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eastAsia" w:ascii="Times New Roman" w:hAnsi="Times New Roman"/>
          <w:sz w:val="28"/>
          <w:szCs w:val="28"/>
          <w:lang w:val="en-US" w:eastAsia="zh-CN"/>
        </w:rPr>
      </w:pPr>
      <w:r>
        <w:rPr>
          <w:rFonts w:hint="eastAsia" w:ascii="Times New Roman" w:hAnsi="Times New Roman"/>
          <w:sz w:val="28"/>
          <w:szCs w:val="28"/>
          <w:lang w:val="en-US" w:eastAsia="zh-CN"/>
        </w:rPr>
        <w:t>（二）土地利用与道路交通规划。一是明确了规划地块的用地布局，二是提出了耕地占补平衡的规模，三是对规划地块周边的道路交通进行了梳理规划。</w:t>
      </w:r>
    </w:p>
    <w:p w14:paraId="55144EA5">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default" w:ascii="Times New Roman" w:hAnsi="Times New Roman"/>
          <w:sz w:val="28"/>
          <w:szCs w:val="28"/>
          <w:lang w:val="en-US" w:eastAsia="zh-CN"/>
        </w:rPr>
      </w:pPr>
      <w:r>
        <w:rPr>
          <w:rFonts w:hint="eastAsia" w:ascii="Times New Roman" w:hAnsi="Times New Roman"/>
          <w:sz w:val="28"/>
          <w:szCs w:val="28"/>
          <w:lang w:val="en-US" w:eastAsia="zh-CN"/>
        </w:rPr>
        <w:t>（三）市政工程与综合防灾规划。一是明确了规划地块的给水、污水、雨水、电力、燃气等的工程规划，二是对规划地块综合防灾提出规划要求。</w:t>
      </w:r>
    </w:p>
    <w:p w14:paraId="00C42F6A">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default" w:ascii="Times New Roman" w:hAnsi="Times New Roman"/>
          <w:sz w:val="28"/>
          <w:szCs w:val="28"/>
          <w:lang w:val="en-US" w:eastAsia="zh-CN"/>
        </w:rPr>
      </w:pPr>
      <w:r>
        <w:rPr>
          <w:rFonts w:hint="eastAsia" w:ascii="Times New Roman" w:hAnsi="Times New Roman"/>
          <w:sz w:val="28"/>
          <w:szCs w:val="28"/>
          <w:lang w:val="en-US" w:eastAsia="zh-CN"/>
        </w:rPr>
        <w:t>（四）用地控制导则。明确了地块划分、地块控制要求、四线控制等内容。</w:t>
      </w:r>
    </w:p>
    <w:p w14:paraId="0DF2C6F8">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default" w:ascii="Times New Roman" w:hAnsi="Times New Roman"/>
          <w:sz w:val="28"/>
          <w:szCs w:val="28"/>
          <w:lang w:val="en-US" w:eastAsia="zh-CN"/>
        </w:rPr>
      </w:pPr>
      <w:r>
        <w:rPr>
          <w:rFonts w:hint="eastAsia" w:ascii="Times New Roman" w:hAnsi="Times New Roman"/>
          <w:sz w:val="28"/>
          <w:szCs w:val="28"/>
          <w:lang w:val="en-US" w:eastAsia="zh-CN"/>
        </w:rPr>
        <w:t>（五）规划实施保障。提出了规划实施的保障策略。</w:t>
      </w:r>
    </w:p>
    <w:p w14:paraId="0B2AB023">
      <w:pPr>
        <w:pStyle w:val="9"/>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600"/>
        <w:textAlignment w:val="auto"/>
        <w:rPr>
          <w:rFonts w:hint="default" w:ascii="Times New Roman" w:hAnsi="Times New Roman"/>
          <w:sz w:val="28"/>
          <w:szCs w:val="28"/>
          <w:lang w:val="en-US" w:eastAsia="zh-CN"/>
        </w:rPr>
      </w:pPr>
      <w:r>
        <w:rPr>
          <w:rFonts w:hint="eastAsia" w:ascii="Times New Roman" w:hAnsi="Times New Roman"/>
          <w:sz w:val="28"/>
          <w:szCs w:val="28"/>
          <w:lang w:val="en-US" w:eastAsia="zh-CN"/>
        </w:rPr>
        <w:t>（六）附则。明确了</w:t>
      </w:r>
      <w:bookmarkStart w:id="1" w:name="_GoBack"/>
      <w:bookmarkEnd w:id="1"/>
      <w:r>
        <w:rPr>
          <w:rFonts w:hint="eastAsia" w:ascii="Times New Roman" w:hAnsi="Times New Roman"/>
          <w:sz w:val="28"/>
          <w:szCs w:val="28"/>
          <w:lang w:val="en-US" w:eastAsia="zh-CN"/>
        </w:rPr>
        <w:t>本规划的成果构成、强制性内容及生效等。</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9CA19A">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0D444A">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A0D444A">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0D3C4B"/>
    <w:multiLevelType w:val="singleLevel"/>
    <w:tmpl w:val="5C0D3C4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667FB"/>
    <w:rsid w:val="0008630B"/>
    <w:rsid w:val="002F525C"/>
    <w:rsid w:val="003E7BA3"/>
    <w:rsid w:val="00550356"/>
    <w:rsid w:val="005515D1"/>
    <w:rsid w:val="0073752F"/>
    <w:rsid w:val="00791EE0"/>
    <w:rsid w:val="007E22C9"/>
    <w:rsid w:val="0084535E"/>
    <w:rsid w:val="00930415"/>
    <w:rsid w:val="00930AC6"/>
    <w:rsid w:val="00A1362E"/>
    <w:rsid w:val="00A52DC5"/>
    <w:rsid w:val="00A65EF6"/>
    <w:rsid w:val="00C62126"/>
    <w:rsid w:val="00CD10A7"/>
    <w:rsid w:val="02235B0E"/>
    <w:rsid w:val="0AEC0123"/>
    <w:rsid w:val="0EA75C87"/>
    <w:rsid w:val="148F47CE"/>
    <w:rsid w:val="1DD32FB3"/>
    <w:rsid w:val="1F705B91"/>
    <w:rsid w:val="20D130E9"/>
    <w:rsid w:val="22723AE6"/>
    <w:rsid w:val="2B836D00"/>
    <w:rsid w:val="312D57A8"/>
    <w:rsid w:val="478D4D9A"/>
    <w:rsid w:val="4B774FBE"/>
    <w:rsid w:val="501B2CFB"/>
    <w:rsid w:val="5E171067"/>
    <w:rsid w:val="5E2F0501"/>
    <w:rsid w:val="64B85A79"/>
    <w:rsid w:val="65600EE0"/>
    <w:rsid w:val="6DDD3AD6"/>
    <w:rsid w:val="6E892C58"/>
    <w:rsid w:val="70CD519D"/>
    <w:rsid w:val="725E75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0-正文 字符"/>
    <w:link w:val="9"/>
    <w:qFormat/>
    <w:locked/>
    <w:uiPriority w:val="0"/>
    <w:rPr>
      <w:rFonts w:ascii="仿宋_GB2312" w:hAnsi="仿宋" w:eastAsia="仿宋_GB2312"/>
      <w:sz w:val="30"/>
      <w:szCs w:val="24"/>
    </w:rPr>
  </w:style>
  <w:style w:type="paragraph" w:customStyle="1" w:styleId="9">
    <w:name w:val="0-正文"/>
    <w:basedOn w:val="1"/>
    <w:link w:val="8"/>
    <w:qFormat/>
    <w:uiPriority w:val="0"/>
    <w:pPr>
      <w:adjustRightInd w:val="0"/>
      <w:snapToGrid w:val="0"/>
      <w:spacing w:beforeLines="50" w:afterLines="50" w:line="520" w:lineRule="exact"/>
      <w:ind w:firstLine="200" w:firstLineChars="200"/>
    </w:pPr>
    <w:rPr>
      <w:rFonts w:ascii="仿宋_GB2312" w:hAnsi="仿宋" w:eastAsia="仿宋_GB2312"/>
      <w:sz w:val="30"/>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1019</Words>
  <Characters>1114</Characters>
  <Lines>18</Lines>
  <Paragraphs>5</Paragraphs>
  <TotalTime>12</TotalTime>
  <ScaleCrop>false</ScaleCrop>
  <LinksUpToDate>false</LinksUpToDate>
  <CharactersWithSpaces>1115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2023-12-27T01:12:00Z</dcterms:created>
  <dc:creator>YU ZHU</dc:creator>
  <cp:lastModifiedBy>cpu</cp:lastModifiedBy>
  <dcterms:modified xsi:type="dcterms:W3CDTF">2025-11-05T09:39:28Z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3BBFEF6BCE9243D0BD6C7D71C38F40AC_13</vt:lpwstr>
  </property>
  <property fmtid="{D5CDD505-2E9C-101B-9397-08002B2CF9AE}" pid="4" name="KSOTemplateDocerSaveRecord">
    <vt:lpwstr>eyJoZGlkIjoiYWRkNGIwOTkyYjcxOGZiNDkwYjlmN2YwZGY1MGE1NjEiLCJ1c2VySWQiOiI1MzExMzMwNzUifQ==</vt:lpwstr>
  </property>
</Properties>
</file>