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黑体"/>
          <w:b/>
          <w:color w:val="000000"/>
          <w:sz w:val="52"/>
          <w:szCs w:val="32"/>
          <w:lang w:bidi="zh-CN"/>
        </w:rPr>
      </w:pPr>
    </w:p>
    <w:p>
      <w:pPr>
        <w:jc w:val="center"/>
        <w:rPr>
          <w:rFonts w:hint="eastAsia" w:ascii="Times New Roman" w:hAnsi="Times New Roman" w:eastAsia="黑体"/>
          <w:b/>
          <w:color w:val="000000"/>
          <w:sz w:val="52"/>
          <w:szCs w:val="32"/>
          <w:lang w:bidi="zh-CN"/>
        </w:rPr>
      </w:pPr>
    </w:p>
    <w:p>
      <w:pPr>
        <w:jc w:val="center"/>
        <w:rPr>
          <w:rFonts w:hint="eastAsia" w:ascii="Times New Roman" w:hAnsi="Times New Roman" w:eastAsia="黑体"/>
          <w:b/>
          <w:color w:val="000000"/>
          <w:sz w:val="48"/>
          <w:szCs w:val="28"/>
          <w:lang w:val="en-US" w:bidi="zh-CN"/>
        </w:rPr>
      </w:pPr>
      <w:r>
        <w:rPr>
          <w:rFonts w:hint="eastAsia" w:ascii="Times New Roman" w:hAnsi="Times New Roman" w:eastAsia="黑体"/>
          <w:b/>
          <w:color w:val="000000"/>
          <w:sz w:val="48"/>
          <w:szCs w:val="28"/>
          <w:lang w:val="en-US" w:bidi="zh-CN"/>
        </w:rPr>
        <w:t>横峰县龙门畈乡</w:t>
      </w:r>
      <w:r>
        <w:rPr>
          <w:rFonts w:hint="eastAsia" w:ascii="Times New Roman" w:hAnsi="Times New Roman" w:eastAsia="黑体"/>
          <w:b/>
          <w:color w:val="000000"/>
          <w:sz w:val="48"/>
          <w:szCs w:val="28"/>
          <w:lang w:bidi="zh-CN"/>
        </w:rPr>
        <w:t>全域土地综合整治</w:t>
      </w:r>
      <w:r>
        <w:rPr>
          <w:rFonts w:hint="eastAsia" w:ascii="Times New Roman" w:hAnsi="Times New Roman" w:eastAsia="黑体"/>
          <w:b/>
          <w:color w:val="000000"/>
          <w:sz w:val="48"/>
          <w:szCs w:val="28"/>
          <w:lang w:val="en-US" w:bidi="zh-CN"/>
        </w:rPr>
        <w:t>项目</w:t>
      </w:r>
    </w:p>
    <w:p>
      <w:pPr>
        <w:jc w:val="center"/>
        <w:rPr>
          <w:rFonts w:ascii="Times New Roman" w:hAnsi="Times New Roman" w:eastAsia="黑体"/>
          <w:b/>
          <w:color w:val="000000"/>
          <w:sz w:val="48"/>
          <w:szCs w:val="28"/>
          <w:lang w:bidi="zh-CN"/>
        </w:rPr>
      </w:pPr>
      <w:r>
        <w:rPr>
          <w:rFonts w:hint="eastAsia" w:ascii="Times New Roman" w:hAnsi="Times New Roman" w:eastAsia="黑体"/>
          <w:b/>
          <w:color w:val="000000"/>
          <w:sz w:val="48"/>
          <w:szCs w:val="28"/>
          <w:lang w:bidi="zh-CN"/>
        </w:rPr>
        <w:t>实施方案</w:t>
      </w:r>
    </w:p>
    <w:p>
      <w:pPr>
        <w:jc w:val="center"/>
        <w:rPr>
          <w:rFonts w:hint="eastAsia" w:ascii="Times New Roman" w:hAnsi="Times New Roman" w:eastAsia="黑体"/>
          <w:b/>
          <w:color w:val="000000"/>
          <w:sz w:val="52"/>
          <w:szCs w:val="32"/>
          <w:lang w:bidi="zh-CN"/>
        </w:rPr>
      </w:pPr>
      <w:r>
        <w:rPr>
          <w:rFonts w:ascii="Times New Roman" w:hAnsi="Times New Roman" w:eastAsia="黑体"/>
          <w:b/>
          <w:color w:val="000000"/>
          <w:sz w:val="52"/>
          <w:szCs w:val="32"/>
          <w:lang w:bidi="zh-CN"/>
        </w:rPr>
        <w:br w:type="textWrapping"/>
      </w:r>
      <w:r>
        <w:rPr>
          <w:rFonts w:hint="eastAsia" w:ascii="Times New Roman" w:hAnsi="Times New Roman" w:eastAsia="黑体"/>
          <w:b/>
          <w:color w:val="000000"/>
          <w:sz w:val="44"/>
          <w:szCs w:val="44"/>
          <w:lang w:bidi="zh-CN"/>
        </w:rPr>
        <w:t>（公示草案）</w:t>
      </w:r>
    </w:p>
    <w:p>
      <w:pPr>
        <w:rPr>
          <w:rFonts w:ascii="Times New Roman" w:hAnsi="Times New Roman"/>
          <w:color w:val="000000"/>
        </w:rPr>
      </w:pPr>
    </w:p>
    <w:p>
      <w:pPr>
        <w:spacing w:line="360" w:lineRule="auto"/>
        <w:rPr>
          <w:rFonts w:ascii="Times New Roman" w:hAnsi="Times New Roman"/>
          <w:color w:val="000000"/>
        </w:rPr>
      </w:pPr>
    </w:p>
    <w:p>
      <w:pPr>
        <w:spacing w:line="360" w:lineRule="auto"/>
        <w:rPr>
          <w:rFonts w:ascii="Times New Roman" w:hAnsi="Times New Roman"/>
          <w:color w:val="000000"/>
        </w:rPr>
      </w:pPr>
    </w:p>
    <w:p>
      <w:pPr>
        <w:spacing w:line="360" w:lineRule="auto"/>
        <w:rPr>
          <w:rFonts w:ascii="Times New Roman" w:hAnsi="Times New Roman"/>
          <w:color w:val="000000"/>
        </w:rPr>
      </w:pPr>
    </w:p>
    <w:p>
      <w:pPr>
        <w:spacing w:line="360" w:lineRule="auto"/>
        <w:rPr>
          <w:rFonts w:ascii="Times New Roman" w:hAnsi="Times New Roman"/>
          <w:color w:val="000000"/>
        </w:rPr>
      </w:pPr>
    </w:p>
    <w:p>
      <w:pPr>
        <w:spacing w:line="360" w:lineRule="auto"/>
        <w:rPr>
          <w:rFonts w:ascii="Times New Roman" w:hAnsi="Times New Roman"/>
          <w:color w:val="000000"/>
        </w:rPr>
      </w:pPr>
    </w:p>
    <w:p>
      <w:pPr>
        <w:spacing w:line="360" w:lineRule="auto"/>
        <w:rPr>
          <w:rFonts w:ascii="Times New Roman" w:hAnsi="Times New Roman"/>
          <w:color w:val="000000"/>
        </w:rPr>
      </w:pPr>
    </w:p>
    <w:p>
      <w:pPr>
        <w:spacing w:line="360" w:lineRule="auto"/>
        <w:rPr>
          <w:rFonts w:ascii="Times New Roman" w:hAnsi="Times New Roman"/>
          <w:color w:val="000000"/>
        </w:rPr>
      </w:pPr>
    </w:p>
    <w:p>
      <w:pPr>
        <w:spacing w:line="360" w:lineRule="auto"/>
        <w:rPr>
          <w:rFonts w:ascii="Times New Roman" w:hAnsi="Times New Roman"/>
          <w:color w:val="000000"/>
        </w:rPr>
      </w:pPr>
    </w:p>
    <w:p>
      <w:pPr>
        <w:spacing w:line="360" w:lineRule="auto"/>
        <w:rPr>
          <w:rFonts w:ascii="Times New Roman" w:hAnsi="Times New Roman"/>
          <w:color w:val="000000"/>
        </w:rPr>
      </w:pPr>
    </w:p>
    <w:p>
      <w:pPr>
        <w:spacing w:line="360" w:lineRule="auto"/>
        <w:rPr>
          <w:rFonts w:ascii="Times New Roman" w:hAnsi="Times New Roman"/>
          <w:color w:val="000000"/>
        </w:rPr>
      </w:pPr>
    </w:p>
    <w:p>
      <w:pPr>
        <w:spacing w:line="360" w:lineRule="auto"/>
        <w:rPr>
          <w:rFonts w:ascii="Times New Roman" w:hAnsi="Times New Roman"/>
          <w:color w:val="000000"/>
        </w:rPr>
      </w:pPr>
    </w:p>
    <w:p>
      <w:pPr>
        <w:spacing w:line="360" w:lineRule="auto"/>
        <w:rPr>
          <w:rFonts w:ascii="Times New Roman" w:hAnsi="Times New Roman"/>
          <w:color w:val="000000"/>
        </w:rPr>
      </w:pPr>
    </w:p>
    <w:p>
      <w:pPr>
        <w:spacing w:line="360" w:lineRule="auto"/>
        <w:rPr>
          <w:rFonts w:ascii="Times New Roman" w:hAnsi="Times New Roman"/>
          <w:color w:val="000000"/>
        </w:rPr>
      </w:pPr>
    </w:p>
    <w:p>
      <w:pPr>
        <w:spacing w:line="360" w:lineRule="auto"/>
        <w:rPr>
          <w:rFonts w:ascii="Times New Roman" w:hAnsi="Times New Roman"/>
          <w:color w:val="000000"/>
        </w:rPr>
      </w:pPr>
    </w:p>
    <w:p>
      <w:pPr>
        <w:ind w:firstLine="640" w:firstLineChars="200"/>
        <w:rPr>
          <w:rFonts w:hint="eastAsia" w:ascii="Times New Roman" w:hAnsi="Times New Roman" w:eastAsia="仿宋_GB2312"/>
          <w:sz w:val="32"/>
          <w:szCs w:val="32"/>
        </w:rPr>
      </w:pPr>
    </w:p>
    <w:p>
      <w:pPr>
        <w:ind w:firstLine="640" w:firstLineChars="200"/>
        <w:rPr>
          <w:rFonts w:hint="eastAsia" w:ascii="Times New Roman" w:hAnsi="Times New Roman" w:eastAsia="仿宋_GB2312"/>
          <w:sz w:val="32"/>
          <w:szCs w:val="32"/>
        </w:rPr>
      </w:pPr>
    </w:p>
    <w:p>
      <w:pPr>
        <w:ind w:firstLine="640" w:firstLineChars="200"/>
        <w:rPr>
          <w:rFonts w:hint="eastAsia" w:ascii="Times New Roman" w:hAnsi="Times New Roman" w:eastAsia="仿宋_GB2312"/>
          <w:sz w:val="32"/>
          <w:szCs w:val="32"/>
        </w:rPr>
      </w:pPr>
    </w:p>
    <w:p>
      <w:pPr>
        <w:ind w:firstLine="640" w:firstLineChars="200"/>
        <w:rPr>
          <w:rFonts w:hint="eastAsia" w:ascii="Times New Roman" w:hAnsi="Times New Roman" w:eastAsia="仿宋_GB2312"/>
          <w:sz w:val="32"/>
          <w:szCs w:val="32"/>
        </w:rPr>
      </w:pPr>
    </w:p>
    <w:p>
      <w:pPr>
        <w:rPr>
          <w:rFonts w:hint="eastAsia" w:ascii="Times New Roman" w:hAnsi="Times New Roman" w:eastAsia="仿宋_GB2312"/>
          <w:sz w:val="32"/>
          <w:szCs w:val="32"/>
        </w:rPr>
      </w:pPr>
    </w:p>
    <w:p>
      <w:pPr>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为深入贯彻落实乡村振兴战略，全面优化城乡生产、生活和生态空间布局，切实提升农村人居环境质量与土地节约集约利用水平，依据《自然资源部关于学习运用“千万工程”经验深入推进全域土地综合整治工作的意见》等文件精神，结合</w:t>
      </w:r>
      <w:r>
        <w:rPr>
          <w:rFonts w:hint="eastAsia" w:ascii="Times New Roman" w:hAnsi="Times New Roman" w:eastAsia="仿宋_GB2312"/>
          <w:sz w:val="32"/>
          <w:szCs w:val="32"/>
          <w:lang w:val="en-US" w:eastAsia="zh-CN"/>
        </w:rPr>
        <w:t>横峰县</w:t>
      </w:r>
      <w:r>
        <w:rPr>
          <w:rFonts w:hint="eastAsia" w:ascii="Times New Roman" w:hAnsi="Times New Roman" w:eastAsia="仿宋_GB2312"/>
          <w:sz w:val="32"/>
          <w:szCs w:val="32"/>
        </w:rPr>
        <w:t>实际情况，编制了《</w:t>
      </w:r>
      <w:r>
        <w:rPr>
          <w:rFonts w:hint="eastAsia" w:ascii="Times New Roman" w:hAnsi="Times New Roman" w:eastAsia="仿宋_GB2312"/>
          <w:sz w:val="32"/>
          <w:szCs w:val="32"/>
          <w:lang w:val="en-US" w:eastAsia="zh-CN"/>
        </w:rPr>
        <w:t>横峰县龙门畈乡</w:t>
      </w:r>
      <w:r>
        <w:rPr>
          <w:rFonts w:hint="eastAsia" w:ascii="Times New Roman" w:hAnsi="Times New Roman" w:eastAsia="仿宋_GB2312"/>
          <w:sz w:val="32"/>
          <w:szCs w:val="32"/>
        </w:rPr>
        <w:t>全域土地综合整治项目实施方案》。目前，方案已进入公众意见征求阶段，现面向社会公开公示，并诚邀广大公众积极参与，提出宝贵意见和建议</w:t>
      </w:r>
      <w:r>
        <w:rPr>
          <w:rFonts w:hint="eastAsia" w:ascii="Times New Roman" w:hAnsi="Times New Roman" w:eastAsia="仿宋_GB2312"/>
          <w:sz w:val="32"/>
          <w:szCs w:val="32"/>
          <w:lang w:eastAsia="zh-CN"/>
        </w:rPr>
        <w:t>。</w:t>
      </w:r>
    </w:p>
    <w:p>
      <w:pPr>
        <w:pStyle w:val="2"/>
        <w:jc w:val="left"/>
        <w:rPr>
          <w:rFonts w:hint="default" w:ascii="Times New Roman" w:hAnsi="Times New Roman" w:eastAsia="宋体"/>
          <w:color w:val="000000"/>
          <w:sz w:val="36"/>
          <w:szCs w:val="36"/>
          <w:lang w:val="en-US" w:eastAsia="zh-CN"/>
        </w:rPr>
      </w:pPr>
      <w:r>
        <w:rPr>
          <w:rFonts w:hint="eastAsia" w:ascii="Times New Roman" w:hAnsi="Times New Roman"/>
          <w:color w:val="000000"/>
          <w:sz w:val="36"/>
          <w:szCs w:val="36"/>
        </w:rPr>
        <w:t>一、</w:t>
      </w:r>
      <w:r>
        <w:rPr>
          <w:rFonts w:hint="eastAsia" w:ascii="Times New Roman" w:hAnsi="Times New Roman"/>
          <w:color w:val="000000"/>
          <w:sz w:val="36"/>
          <w:szCs w:val="36"/>
          <w:lang w:val="en-US" w:eastAsia="zh-CN"/>
        </w:rPr>
        <w:t>项目名称</w:t>
      </w:r>
    </w:p>
    <w:p>
      <w:pPr>
        <w:ind w:firstLine="640" w:firstLineChars="200"/>
        <w:rPr>
          <w:rFonts w:hint="default" w:ascii="Times New Roman" w:hAnsi="Times New Roman" w:eastAsia="仿宋_GB2312"/>
          <w:lang w:val="en-US" w:eastAsia="zh-CN"/>
        </w:rPr>
      </w:pPr>
      <w:bookmarkStart w:id="0" w:name="_Toc162527565"/>
      <w:bookmarkStart w:id="1" w:name="_Toc2826"/>
      <w:r>
        <w:rPr>
          <w:rFonts w:hint="eastAsia" w:ascii="Times New Roman" w:hAnsi="Times New Roman" w:eastAsia="仿宋_GB2312"/>
          <w:sz w:val="32"/>
          <w:szCs w:val="32"/>
          <w:lang w:val="en-US" w:eastAsia="zh-CN"/>
        </w:rPr>
        <w:t>横峰县龙门畈乡全域土地综合整治项目实施方案。</w:t>
      </w:r>
    </w:p>
    <w:p>
      <w:pPr>
        <w:pStyle w:val="2"/>
        <w:jc w:val="left"/>
        <w:rPr>
          <w:rFonts w:hint="default" w:ascii="Times New Roman" w:hAnsi="Times New Roman"/>
          <w:color w:val="000000"/>
          <w:sz w:val="36"/>
          <w:szCs w:val="36"/>
          <w:lang w:val="en-US"/>
        </w:rPr>
      </w:pPr>
      <w:r>
        <w:rPr>
          <w:rFonts w:hint="eastAsia" w:ascii="Times New Roman" w:hAnsi="Times New Roman"/>
          <w:color w:val="000000"/>
          <w:sz w:val="36"/>
          <w:szCs w:val="36"/>
          <w:lang w:val="en-US" w:eastAsia="zh-CN"/>
        </w:rPr>
        <w:t>二、</w:t>
      </w:r>
      <w:bookmarkEnd w:id="0"/>
      <w:bookmarkEnd w:id="1"/>
      <w:r>
        <w:rPr>
          <w:rFonts w:hint="eastAsia" w:ascii="Times New Roman" w:hAnsi="Times New Roman"/>
          <w:color w:val="000000"/>
          <w:sz w:val="36"/>
          <w:szCs w:val="36"/>
          <w:lang w:val="en-US" w:eastAsia="zh-CN"/>
        </w:rPr>
        <w:t>建设依据</w:t>
      </w:r>
    </w:p>
    <w:p>
      <w:pPr>
        <w:spacing w:line="360" w:lineRule="auto"/>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本项目依据国家及江西省有关政策法规编制，主要包括《自然资源部关于学习运用“千万工程”经验深入推进全域土地综合整治工作的意见》（自然资发〔2024〕149号）、《自然资源部办公厅关于印发《全域土地综合整治实施指南（试行）》的通知》（自然资办发〔2024〕57号）</w:t>
      </w:r>
      <w:r>
        <w:rPr>
          <w:rFonts w:hint="eastAsia" w:ascii="Times New Roman" w:hAnsi="Times New Roman" w:eastAsia="仿宋_GB2312"/>
          <w:sz w:val="32"/>
          <w:szCs w:val="32"/>
          <w:lang w:eastAsia="zh-CN"/>
        </w:rPr>
        <w:t>、《江西省全域土地综合整治管理办法（试行）》（赣自然资规〔2025〕8号）</w:t>
      </w:r>
      <w:r>
        <w:rPr>
          <w:rFonts w:hint="eastAsia" w:ascii="Times New Roman" w:hAnsi="Times New Roman" w:eastAsia="仿宋_GB2312"/>
          <w:sz w:val="32"/>
          <w:szCs w:val="32"/>
        </w:rPr>
        <w:t>以及《</w:t>
      </w:r>
      <w:r>
        <w:rPr>
          <w:rFonts w:hint="eastAsia" w:ascii="Times New Roman" w:hAnsi="Times New Roman" w:eastAsia="仿宋_GB2312"/>
          <w:sz w:val="32"/>
          <w:szCs w:val="32"/>
          <w:lang w:val="en-US" w:eastAsia="zh-CN"/>
        </w:rPr>
        <w:t>横峰县</w:t>
      </w:r>
      <w:r>
        <w:rPr>
          <w:rFonts w:hint="eastAsia" w:ascii="Times New Roman" w:hAnsi="Times New Roman" w:eastAsia="仿宋_GB2312"/>
          <w:sz w:val="32"/>
          <w:szCs w:val="32"/>
        </w:rPr>
        <w:t>国土空间总体规划（2021-2035年）》等相关文件要求。</w:t>
      </w:r>
    </w:p>
    <w:p>
      <w:pPr>
        <w:pStyle w:val="2"/>
        <w:jc w:val="left"/>
        <w:rPr>
          <w:rFonts w:hint="default" w:ascii="Times New Roman" w:hAnsi="Times New Roman"/>
          <w:color w:val="000000"/>
          <w:sz w:val="36"/>
          <w:szCs w:val="36"/>
          <w:lang w:val="en-US"/>
        </w:rPr>
      </w:pPr>
      <w:r>
        <w:rPr>
          <w:rFonts w:hint="eastAsia" w:ascii="Times New Roman" w:hAnsi="Times New Roman"/>
          <w:color w:val="000000"/>
          <w:sz w:val="36"/>
          <w:szCs w:val="36"/>
          <w:lang w:val="en-US" w:eastAsia="zh-CN"/>
        </w:rPr>
        <w:t>三、建设地点</w:t>
      </w:r>
    </w:p>
    <w:p>
      <w:pPr>
        <w:spacing w:line="360" w:lineRule="auto"/>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本项目的实施范围为</w:t>
      </w:r>
      <w:r>
        <w:rPr>
          <w:rFonts w:hint="eastAsia" w:ascii="Times New Roman" w:hAnsi="Times New Roman" w:eastAsia="仿宋_GB2312"/>
          <w:sz w:val="32"/>
          <w:szCs w:val="32"/>
          <w:lang w:val="en-US" w:eastAsia="zh-CN"/>
        </w:rPr>
        <w:t>龙门畈乡</w:t>
      </w:r>
      <w:r>
        <w:rPr>
          <w:rFonts w:hint="eastAsia" w:ascii="Times New Roman" w:hAnsi="Times New Roman" w:eastAsia="仿宋_GB2312"/>
          <w:sz w:val="32"/>
          <w:szCs w:val="32"/>
        </w:rPr>
        <w:t>全部国土空间，包含11个行政村，即坊源村、柯家村、龙门村、鲁村、满团村、钱家村、童家村、土岩村、霞坊村、洋叶村、宜兴村，实施范围总面积8038.7524公顷。</w:t>
      </w:r>
    </w:p>
    <w:p>
      <w:pPr>
        <w:pStyle w:val="2"/>
        <w:jc w:val="left"/>
        <w:rPr>
          <w:rFonts w:hint="default" w:ascii="Times New Roman" w:hAnsi="Times New Roman"/>
          <w:color w:val="000000"/>
          <w:sz w:val="36"/>
          <w:szCs w:val="36"/>
          <w:lang w:val="en-US"/>
        </w:rPr>
      </w:pPr>
      <w:r>
        <w:rPr>
          <w:rFonts w:hint="eastAsia" w:ascii="Times New Roman" w:hAnsi="Times New Roman"/>
          <w:color w:val="000000"/>
          <w:sz w:val="36"/>
          <w:szCs w:val="36"/>
          <w:lang w:val="en-US" w:eastAsia="zh-CN"/>
        </w:rPr>
        <w:t>四、建设期限</w:t>
      </w:r>
    </w:p>
    <w:p>
      <w:pPr>
        <w:spacing w:line="360" w:lineRule="auto"/>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实施期限为三年，具体实施期限以实施方案批复时间为准。</w:t>
      </w:r>
    </w:p>
    <w:p>
      <w:pPr>
        <w:pStyle w:val="2"/>
        <w:jc w:val="left"/>
        <w:rPr>
          <w:rFonts w:hint="default" w:ascii="Times New Roman" w:hAnsi="Times New Roman"/>
          <w:color w:val="000000"/>
          <w:sz w:val="36"/>
          <w:szCs w:val="36"/>
          <w:lang w:val="en-US"/>
        </w:rPr>
      </w:pPr>
      <w:r>
        <w:rPr>
          <w:rFonts w:hint="eastAsia" w:ascii="Times New Roman" w:hAnsi="Times New Roman"/>
          <w:color w:val="000000"/>
          <w:sz w:val="36"/>
          <w:szCs w:val="36"/>
          <w:lang w:val="en-US" w:eastAsia="zh-CN"/>
        </w:rPr>
        <w:t>五、建设内容</w:t>
      </w:r>
    </w:p>
    <w:p>
      <w:pPr>
        <w:spacing w:line="360" w:lineRule="auto"/>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本方案项目实施依据《</w:t>
      </w:r>
      <w:r>
        <w:rPr>
          <w:rFonts w:hint="eastAsia" w:ascii="Times New Roman" w:hAnsi="Times New Roman" w:eastAsia="仿宋_GB2312"/>
          <w:sz w:val="32"/>
          <w:szCs w:val="32"/>
          <w:lang w:val="en-US" w:eastAsia="zh-CN"/>
        </w:rPr>
        <w:t>横峰县</w:t>
      </w:r>
      <w:r>
        <w:rPr>
          <w:rFonts w:hint="eastAsia" w:ascii="Times New Roman" w:hAnsi="Times New Roman" w:eastAsia="仿宋_GB2312"/>
          <w:sz w:val="32"/>
          <w:szCs w:val="32"/>
        </w:rPr>
        <w:t>国土空间总体规划（2021-2035年）》、《</w:t>
      </w:r>
      <w:r>
        <w:rPr>
          <w:rFonts w:hint="eastAsia" w:ascii="Times New Roman" w:hAnsi="Times New Roman" w:eastAsia="仿宋_GB2312"/>
          <w:sz w:val="32"/>
          <w:szCs w:val="32"/>
          <w:lang w:val="en-US" w:eastAsia="zh-CN"/>
        </w:rPr>
        <w:t>横峰县龙门畈乡</w:t>
      </w:r>
      <w:r>
        <w:rPr>
          <w:rFonts w:hint="eastAsia" w:ascii="Times New Roman" w:hAnsi="Times New Roman" w:eastAsia="仿宋_GB2312"/>
          <w:sz w:val="32"/>
          <w:szCs w:val="32"/>
        </w:rPr>
        <w:t>国土空间总体规划（2021-2035年）》、《</w:t>
      </w:r>
      <w:r>
        <w:rPr>
          <w:rFonts w:hint="eastAsia" w:ascii="Times New Roman" w:hAnsi="Times New Roman" w:eastAsia="仿宋_GB2312"/>
          <w:sz w:val="32"/>
          <w:szCs w:val="32"/>
          <w:lang w:val="en-US" w:eastAsia="zh-CN"/>
        </w:rPr>
        <w:t>横峰县龙门畈乡坊源村</w:t>
      </w:r>
      <w:r>
        <w:rPr>
          <w:rFonts w:hint="eastAsia" w:ascii="Times New Roman" w:hAnsi="Times New Roman" w:eastAsia="仿宋_GB2312"/>
          <w:sz w:val="32"/>
          <w:szCs w:val="32"/>
        </w:rPr>
        <w:t>“多规合一”实用性村庄规划（2021-2035）》</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11个村</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等相关</w:t>
      </w:r>
      <w:r>
        <w:rPr>
          <w:rFonts w:hint="eastAsia" w:ascii="Times New Roman" w:hAnsi="Times New Roman" w:eastAsia="仿宋_GB2312"/>
          <w:sz w:val="32"/>
          <w:szCs w:val="32"/>
        </w:rPr>
        <w:t>规划成果，遵循“全域规划、整体设计、综合整治”的原则，结合“增耕地、腾空间、强活力、优生态”的重点建设任务，从农用地整治、建设用地整理、生态保护修复、历史文化保护、产业导入等方面开展：</w:t>
      </w:r>
    </w:p>
    <w:p>
      <w:pPr>
        <w:pStyle w:val="3"/>
        <w:numPr>
          <w:ilvl w:val="0"/>
          <w:numId w:val="1"/>
        </w:numPr>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农用地整治工程</w:t>
      </w:r>
    </w:p>
    <w:p>
      <w:pPr>
        <w:spacing w:line="360" w:lineRule="auto"/>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在严格落实耕地和永久基本农田保护目标任务的前提下，适应农业现代化发展需要和耕地数量、质量、生态“三位一体”保护要求，推进高标准农田集中连片整治、土地开发、耕地提质改造治理等项目，旨在提升耕地集中连片度和质量，增强农业生产功能，助力现代农业发展。预计落实安排</w:t>
      </w:r>
      <w:r>
        <w:rPr>
          <w:rFonts w:hint="eastAsia" w:ascii="Times New Roman" w:hAnsi="Times New Roman" w:eastAsia="仿宋_GB2312"/>
          <w:sz w:val="32"/>
          <w:szCs w:val="32"/>
          <w:lang w:val="en-US" w:eastAsia="zh-CN"/>
        </w:rPr>
        <w:t>补充耕地项目、</w:t>
      </w:r>
      <w:r>
        <w:rPr>
          <w:rFonts w:hint="eastAsia" w:ascii="Times New Roman" w:hAnsi="Times New Roman" w:eastAsia="仿宋_GB2312"/>
          <w:sz w:val="32"/>
          <w:szCs w:val="32"/>
        </w:rPr>
        <w:t>高标准农田建设项目、</w:t>
      </w:r>
      <w:r>
        <w:rPr>
          <w:rFonts w:hint="eastAsia" w:ascii="Times New Roman" w:hAnsi="Times New Roman" w:eastAsia="仿宋_GB2312"/>
          <w:sz w:val="32"/>
          <w:szCs w:val="32"/>
          <w:lang w:val="en-US" w:eastAsia="zh-CN"/>
        </w:rPr>
        <w:t>耕地质量提升</w:t>
      </w:r>
      <w:r>
        <w:rPr>
          <w:rFonts w:hint="eastAsia" w:ascii="Times New Roman" w:hAnsi="Times New Roman" w:eastAsia="仿宋_GB2312"/>
          <w:sz w:val="32"/>
          <w:szCs w:val="32"/>
        </w:rPr>
        <w:t>项目</w:t>
      </w:r>
      <w:r>
        <w:rPr>
          <w:rFonts w:hint="eastAsia" w:ascii="Times New Roman" w:hAnsi="Times New Roman" w:eastAsia="仿宋_GB2312"/>
          <w:sz w:val="32"/>
          <w:szCs w:val="32"/>
          <w:lang w:val="en-US" w:eastAsia="zh-CN"/>
        </w:rPr>
        <w:t>等6</w:t>
      </w:r>
      <w:r>
        <w:rPr>
          <w:rFonts w:hint="eastAsia" w:ascii="Times New Roman" w:hAnsi="Times New Roman" w:eastAsia="仿宋_GB2312"/>
          <w:sz w:val="32"/>
          <w:szCs w:val="32"/>
        </w:rPr>
        <w:t>个</w:t>
      </w:r>
      <w:r>
        <w:rPr>
          <w:rFonts w:hint="eastAsia" w:ascii="Times New Roman" w:hAnsi="Times New Roman" w:eastAsia="仿宋_GB2312"/>
          <w:sz w:val="32"/>
          <w:szCs w:val="32"/>
          <w:lang w:val="en-US" w:eastAsia="zh-CN"/>
        </w:rPr>
        <w:t>项目</w:t>
      </w:r>
      <w:r>
        <w:rPr>
          <w:rFonts w:hint="eastAsia" w:ascii="Times New Roman" w:hAnsi="Times New Roman" w:eastAsia="仿宋_GB2312"/>
          <w:sz w:val="32"/>
          <w:szCs w:val="32"/>
          <w:lang w:eastAsia="zh-CN"/>
        </w:rPr>
        <w:t>。</w:t>
      </w:r>
    </w:p>
    <w:p>
      <w:pPr>
        <w:pStyle w:val="3"/>
        <w:numPr>
          <w:ilvl w:val="0"/>
          <w:numId w:val="1"/>
        </w:numPr>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建设用地整理工程</w:t>
      </w:r>
    </w:p>
    <w:p>
      <w:pPr>
        <w:spacing w:line="360" w:lineRule="auto"/>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适应宜居宜业和美乡村建设需要，统筹考虑区位条件、资源禀赋、环境容量、产业基础、历史文化传承以及农民住房、产业发展、公共服务、基础设施等各类建设用地需求，根据实施单元具备的基础条件和特点，对农村零散、闲置、低效建设用地进行整理盘活，统筹推进建设用地布局优化、村庄建设用地整理、废弃采矿用地复垦利用、城镇低效用地再开发等，确保城镇开发边界规模和扩展倍数不突破、整治区域内建设用地总面积不增加，进一步提升土地资源配置效率和节约集约利用水平，为保障农民合理居住需求、乡村基础设施建设和产业发展提供用地支撑。重点推进低效农村宅基地整治、废弃矿山修复治理及公共服务设施配套升级，通过盘活存量建设用地，腾挪出产业发展空间，改善镇区面貌和居民生活环境。预计</w:t>
      </w:r>
      <w:r>
        <w:rPr>
          <w:rFonts w:hint="eastAsia" w:ascii="Times New Roman" w:hAnsi="Times New Roman" w:eastAsia="仿宋_GB2312"/>
          <w:sz w:val="32"/>
          <w:szCs w:val="32"/>
          <w:lang w:val="en-US" w:eastAsia="zh-CN"/>
        </w:rPr>
        <w:t>实施</w:t>
      </w:r>
      <w:r>
        <w:rPr>
          <w:rFonts w:hint="eastAsia" w:ascii="Times New Roman" w:hAnsi="Times New Roman" w:eastAsia="仿宋_GB2312"/>
          <w:sz w:val="32"/>
          <w:szCs w:val="32"/>
        </w:rPr>
        <w:t>废弃矿山修复治理41.0894公顷。</w:t>
      </w:r>
    </w:p>
    <w:p>
      <w:pPr>
        <w:pStyle w:val="3"/>
        <w:numPr>
          <w:ilvl w:val="0"/>
          <w:numId w:val="1"/>
        </w:numPr>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生态保护修复工程</w:t>
      </w:r>
    </w:p>
    <w:p>
      <w:pPr>
        <w:spacing w:line="360" w:lineRule="auto"/>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以严守生态保护红线、改善农村人居环境、优化生态空间布局为目标，统筹考虑自然生态系统的完整性和联通性、乡村肌理格局以及基层群众对于美丽乡村建设的需要，协同开展生态空间优化、农村地区山水林田湖草沙一体化保护和修复、农村人居环境整治等活动，加快宜居宜业和美乡村建设。主要包含水环境</w:t>
      </w:r>
      <w:r>
        <w:rPr>
          <w:rFonts w:hint="eastAsia" w:ascii="Times New Roman" w:hAnsi="Times New Roman" w:eastAsia="仿宋_GB2312"/>
          <w:sz w:val="32"/>
          <w:szCs w:val="32"/>
          <w:lang w:val="en-US" w:eastAsia="zh-CN"/>
        </w:rPr>
        <w:t>综合</w:t>
      </w:r>
      <w:r>
        <w:rPr>
          <w:rFonts w:hint="eastAsia" w:ascii="Times New Roman" w:hAnsi="Times New Roman" w:eastAsia="仿宋_GB2312"/>
          <w:sz w:val="32"/>
          <w:szCs w:val="32"/>
        </w:rPr>
        <w:t>治理、人居环境</w:t>
      </w:r>
      <w:r>
        <w:rPr>
          <w:rFonts w:hint="eastAsia" w:ascii="Times New Roman" w:hAnsi="Times New Roman" w:eastAsia="仿宋_GB2312"/>
          <w:sz w:val="32"/>
          <w:szCs w:val="32"/>
          <w:lang w:val="en-US" w:eastAsia="zh-CN"/>
        </w:rPr>
        <w:t>提升</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基础设施提升</w:t>
      </w:r>
      <w:r>
        <w:rPr>
          <w:rFonts w:hint="eastAsia" w:ascii="Times New Roman" w:hAnsi="Times New Roman" w:eastAsia="仿宋_GB2312"/>
          <w:sz w:val="32"/>
          <w:szCs w:val="32"/>
        </w:rPr>
        <w:t>等重点项目，以全面提升区域生态环境质量和防灾减灾能力。预计进行</w:t>
      </w:r>
      <w:r>
        <w:rPr>
          <w:rFonts w:hint="eastAsia" w:ascii="Times New Roman" w:hAnsi="Times New Roman" w:eastAsia="仿宋_GB2312"/>
          <w:sz w:val="32"/>
          <w:szCs w:val="32"/>
          <w:lang w:val="en-US" w:eastAsia="zh-CN"/>
        </w:rPr>
        <w:t>横峰干渠等6条主干渠修复工程39.81千米</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实施横峰县龙门畈乡全域土地综合整治山塘水库提升整治项目18.07公顷、整治河道治理12.5734公顷、横峰县乡村人居环境改善工程一期、二期改造提升项目、横峰县龙门畈乡全域土地综合整治‌集镇综合整治与美化项目、横峰县龙门畈乡农村生活污水处理项目</w:t>
      </w:r>
      <w:r>
        <w:rPr>
          <w:rFonts w:hint="eastAsia" w:ascii="Times New Roman" w:hAnsi="Times New Roman" w:eastAsia="仿宋_GB2312"/>
          <w:sz w:val="32"/>
          <w:szCs w:val="32"/>
        </w:rPr>
        <w:t>。</w:t>
      </w:r>
    </w:p>
    <w:p>
      <w:pPr>
        <w:pStyle w:val="3"/>
        <w:numPr>
          <w:ilvl w:val="0"/>
          <w:numId w:val="1"/>
        </w:numPr>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历史文化保护</w:t>
      </w:r>
    </w:p>
    <w:p>
      <w:pPr>
        <w:spacing w:line="360" w:lineRule="auto"/>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通过实施历史文化遗迹保护与修缮项目，把位于</w:t>
      </w:r>
      <w:r>
        <w:rPr>
          <w:rFonts w:hint="eastAsia" w:ascii="Times New Roman" w:hAnsi="Times New Roman" w:eastAsia="仿宋_GB2312"/>
          <w:sz w:val="32"/>
          <w:szCs w:val="32"/>
          <w:lang w:val="en-US" w:eastAsia="zh-CN"/>
        </w:rPr>
        <w:t>龙门畈乡</w:t>
      </w:r>
      <w:r>
        <w:rPr>
          <w:rFonts w:hint="eastAsia" w:ascii="Times New Roman" w:hAnsi="Times New Roman" w:eastAsia="仿宋_GB2312"/>
          <w:sz w:val="32"/>
          <w:szCs w:val="32"/>
        </w:rPr>
        <w:t>范围内</w:t>
      </w:r>
      <w:r>
        <w:rPr>
          <w:rFonts w:hint="eastAsia" w:ascii="Times New Roman" w:hAnsi="Times New Roman" w:eastAsia="仿宋_GB2312"/>
          <w:sz w:val="32"/>
          <w:szCs w:val="32"/>
          <w:lang w:val="en-US" w:eastAsia="zh-CN"/>
        </w:rPr>
        <w:t>市级文物保护单位如红十军总医院霞坊分院旧址、闽浙赣省横峰县二区区苏旧址、闽浙赣省红军军需厂旧址、“参三阁”私塾、东洋亭、悦来亭等</w:t>
      </w:r>
      <w:r>
        <w:rPr>
          <w:rFonts w:hint="eastAsia" w:ascii="Times New Roman" w:hAnsi="Times New Roman" w:eastAsia="仿宋_GB2312"/>
          <w:sz w:val="32"/>
          <w:szCs w:val="32"/>
        </w:rPr>
        <w:t>进行修缮和保护。</w:t>
      </w:r>
    </w:p>
    <w:p>
      <w:pPr>
        <w:pStyle w:val="3"/>
        <w:numPr>
          <w:ilvl w:val="0"/>
          <w:numId w:val="1"/>
        </w:numPr>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产业导入</w:t>
      </w:r>
    </w:p>
    <w:p>
      <w:pPr>
        <w:spacing w:line="360" w:lineRule="auto"/>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结合资源优势和发展定位，加快一二三产融合，采用现代化、高效能和高效益的生产和管理方式培育出的高质量果蔬产品。发展以高品质主导的精品水果种植的水果基地与其他经济农作物联合可大力发展果蔬种植，成立果蔬种植基地，将龙门畈乡打造成为横峰县重要的特色农业基地。将农业生产与旅游休闲活动相结合，利用自然环境、农业资源、农耕文化和民俗风情等资源，提供休闲、娱乐、体验、观光等多种服务的新型农业产业形态。增进游客对“三农”的体验与感知，提升旅游的品质，并促进农民增收和城乡协调发展。</w:t>
      </w:r>
    </w:p>
    <w:p>
      <w:pPr>
        <w:spacing w:line="360" w:lineRule="auto"/>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主要安排横峰县龙门畈乡果园加工厂、横峰县龙门畈乡葡萄产业园等6个项目。</w:t>
      </w:r>
    </w:p>
    <w:p>
      <w:pPr>
        <w:pStyle w:val="2"/>
        <w:jc w:val="left"/>
        <w:rPr>
          <w:rFonts w:hint="default" w:ascii="Times New Roman" w:hAnsi="Times New Roman"/>
          <w:color w:val="000000"/>
          <w:sz w:val="36"/>
          <w:szCs w:val="36"/>
          <w:lang w:val="en-US"/>
        </w:rPr>
      </w:pPr>
      <w:r>
        <w:rPr>
          <w:rFonts w:hint="eastAsia" w:ascii="Times New Roman" w:hAnsi="Times New Roman"/>
          <w:color w:val="000000"/>
          <w:sz w:val="36"/>
          <w:szCs w:val="36"/>
          <w:lang w:val="en-US" w:eastAsia="zh-CN"/>
        </w:rPr>
        <w:t>六、征求意见方式</w:t>
      </w:r>
    </w:p>
    <w:p>
      <w:pPr>
        <w:spacing w:line="360" w:lineRule="auto"/>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公示期为7个工作日，欢迎社会各界人士通过来电、来访等方式，对《</w:t>
      </w:r>
      <w:r>
        <w:rPr>
          <w:rFonts w:hint="eastAsia" w:ascii="Times New Roman" w:hAnsi="Times New Roman" w:eastAsia="仿宋_GB2312"/>
          <w:sz w:val="32"/>
          <w:szCs w:val="32"/>
          <w:lang w:val="en-US" w:eastAsia="zh-CN"/>
        </w:rPr>
        <w:t>横峰县龙门畈乡</w:t>
      </w:r>
      <w:r>
        <w:rPr>
          <w:rFonts w:hint="eastAsia" w:ascii="Times New Roman" w:hAnsi="Times New Roman" w:eastAsia="仿宋_GB2312"/>
          <w:sz w:val="32"/>
          <w:szCs w:val="32"/>
        </w:rPr>
        <w:t>全域土地综合整治</w:t>
      </w:r>
      <w:r>
        <w:rPr>
          <w:rFonts w:hint="eastAsia" w:ascii="Times New Roman" w:hAnsi="Times New Roman" w:eastAsia="仿宋_GB2312"/>
          <w:sz w:val="32"/>
          <w:szCs w:val="32"/>
          <w:lang w:val="en-US" w:eastAsia="zh-CN"/>
        </w:rPr>
        <w:t>项目</w:t>
      </w:r>
      <w:r>
        <w:rPr>
          <w:rFonts w:hint="eastAsia" w:ascii="Times New Roman" w:hAnsi="Times New Roman" w:eastAsia="仿宋_GB2312"/>
          <w:sz w:val="32"/>
          <w:szCs w:val="32"/>
        </w:rPr>
        <w:t>实施方案》提出宝贵意见和建议。我们将认真研究吸纳各方意见，进一步完善方案内容，保障项目实施的科学性、合理性与可操作性。</w:t>
      </w:r>
    </w:p>
    <w:p>
      <w:pPr>
        <w:spacing w:line="360" w:lineRule="auto"/>
        <w:ind w:firstLine="640" w:firstLineChars="200"/>
        <w:rPr>
          <w:rFonts w:hint="eastAsia" w:ascii="Times New Roman" w:hAnsi="Times New Roman" w:eastAsia="仿宋_GB2312"/>
          <w:sz w:val="32"/>
          <w:szCs w:val="32"/>
        </w:rPr>
      </w:pPr>
    </w:p>
    <w:p>
      <w:pPr>
        <w:spacing w:line="360" w:lineRule="auto"/>
        <w:ind w:firstLine="640" w:firstLineChars="200"/>
        <w:rPr>
          <w:rFonts w:hint="eastAsia" w:ascii="Times New Roman" w:hAnsi="Times New Roman" w:eastAsia="仿宋_GB2312"/>
          <w:sz w:val="32"/>
          <w:szCs w:val="32"/>
        </w:rPr>
      </w:pPr>
    </w:p>
    <w:p>
      <w:pPr>
        <w:spacing w:line="360" w:lineRule="auto"/>
        <w:ind w:firstLine="640" w:firstLineChars="200"/>
        <w:rPr>
          <w:rFonts w:hint="eastAsia" w:ascii="Times New Roman" w:hAnsi="Times New Roman" w:eastAsia="仿宋_GB2312"/>
          <w:sz w:val="32"/>
          <w:szCs w:val="32"/>
        </w:rPr>
      </w:pPr>
    </w:p>
    <w:p>
      <w:pPr>
        <w:spacing w:beforeLines="0" w:afterLines="0"/>
        <w:jc w:val="left"/>
        <w:rPr>
          <w:rFonts w:hint="eastAsia" w:eastAsia="宋体"/>
          <w:sz w:val="28"/>
          <w:szCs w:val="36"/>
          <w:lang w:val="en-US" w:eastAsia="zh-CN"/>
        </w:rPr>
      </w:pPr>
      <w:r>
        <w:rPr>
          <w:rFonts w:hint="eastAsia" w:eastAsia="宋体"/>
          <w:sz w:val="28"/>
          <w:szCs w:val="36"/>
          <w:lang w:val="en-US" w:eastAsia="zh-CN"/>
        </w:rPr>
        <w:t>联系方式：5702004</w:t>
      </w:r>
    </w:p>
    <w:p>
      <w:pPr>
        <w:spacing w:beforeLines="0" w:afterLines="0"/>
        <w:jc w:val="left"/>
        <w:rPr>
          <w:rFonts w:hint="eastAsia" w:ascii="仿宋_GB2312" w:hAnsi="宋体" w:eastAsia="仿宋_GB2312" w:cs="仿宋_GB2312"/>
          <w:i w:val="0"/>
          <w:iCs w:val="0"/>
          <w:caps w:val="0"/>
          <w:color w:val="000000"/>
          <w:spacing w:val="0"/>
          <w:sz w:val="28"/>
          <w:szCs w:val="28"/>
          <w:shd w:val="clear" w:fill="FFFFFF"/>
        </w:rPr>
      </w:pPr>
      <w:r>
        <w:rPr>
          <w:rFonts w:hint="eastAsia" w:eastAsia="宋体"/>
          <w:sz w:val="28"/>
          <w:szCs w:val="36"/>
          <w:lang w:val="en-US" w:eastAsia="zh-CN"/>
        </w:rPr>
        <w:t>电子邮箱：lmfxcxb@163.com（</w:t>
      </w:r>
      <w:r>
        <w:rPr>
          <w:rFonts w:ascii="仿宋_GB2312" w:hAnsi="宋体" w:eastAsia="仿宋_GB2312" w:cs="仿宋_GB2312"/>
          <w:i w:val="0"/>
          <w:iCs w:val="0"/>
          <w:caps w:val="0"/>
          <w:color w:val="000000"/>
          <w:spacing w:val="0"/>
          <w:sz w:val="28"/>
          <w:szCs w:val="28"/>
          <w:shd w:val="clear" w:fill="FFFFFF"/>
        </w:rPr>
        <w:t>电子邮箱备注：</w:t>
      </w:r>
      <w:r>
        <w:rPr>
          <w:rFonts w:hint="eastAsia" w:ascii="仿宋_GB2312" w:hAnsi="宋体" w:eastAsia="仿宋_GB2312" w:cs="仿宋_GB2312"/>
          <w:i w:val="0"/>
          <w:iCs w:val="0"/>
          <w:caps w:val="0"/>
          <w:color w:val="000000"/>
          <w:spacing w:val="0"/>
          <w:sz w:val="28"/>
          <w:szCs w:val="28"/>
          <w:shd w:val="clear" w:fill="FFFFFF"/>
          <w:lang w:val="en-US" w:eastAsia="zh-CN"/>
        </w:rPr>
        <w:t>横峰县龙门畈乡</w:t>
      </w:r>
      <w:r>
        <w:rPr>
          <w:rFonts w:ascii="仿宋_GB2312" w:hAnsi="宋体" w:eastAsia="仿宋_GB2312" w:cs="仿宋_GB2312"/>
          <w:i w:val="0"/>
          <w:iCs w:val="0"/>
          <w:caps w:val="0"/>
          <w:color w:val="000000"/>
          <w:spacing w:val="0"/>
          <w:sz w:val="28"/>
          <w:szCs w:val="28"/>
          <w:shd w:val="clear" w:fill="FFFFFF"/>
        </w:rPr>
        <w:t>全域土地综合整治</w:t>
      </w:r>
      <w:r>
        <w:rPr>
          <w:rFonts w:hint="eastAsia" w:ascii="仿宋_GB2312" w:hAnsi="宋体" w:eastAsia="仿宋_GB2312" w:cs="仿宋_GB2312"/>
          <w:i w:val="0"/>
          <w:iCs w:val="0"/>
          <w:caps w:val="0"/>
          <w:color w:val="000000"/>
          <w:spacing w:val="0"/>
          <w:sz w:val="28"/>
          <w:szCs w:val="28"/>
          <w:shd w:val="clear" w:fill="FFFFFF"/>
          <w:lang w:val="en-US" w:eastAsia="zh-CN"/>
        </w:rPr>
        <w:t>项目</w:t>
      </w:r>
      <w:r>
        <w:rPr>
          <w:rFonts w:ascii="仿宋_GB2312" w:hAnsi="宋体" w:eastAsia="仿宋_GB2312" w:cs="仿宋_GB2312"/>
          <w:i w:val="0"/>
          <w:iCs w:val="0"/>
          <w:caps w:val="0"/>
          <w:color w:val="000000"/>
          <w:spacing w:val="0"/>
          <w:sz w:val="28"/>
          <w:szCs w:val="28"/>
          <w:shd w:val="clear" w:fill="FFFFFF"/>
        </w:rPr>
        <w:t>实施方案意见建议）</w:t>
      </w:r>
    </w:p>
    <w:p>
      <w:pPr>
        <w:spacing w:beforeLines="0" w:afterLines="0"/>
        <w:jc w:val="left"/>
        <w:rPr>
          <w:rFonts w:hint="default" w:ascii="仿宋_GB2312" w:hAnsi="宋体" w:eastAsia="仿宋_GB2312" w:cs="仿宋_GB2312"/>
          <w:i w:val="0"/>
          <w:iCs w:val="0"/>
          <w:caps w:val="0"/>
          <w:color w:val="000000"/>
          <w:spacing w:val="0"/>
          <w:sz w:val="28"/>
          <w:szCs w:val="28"/>
          <w:shd w:val="clear" w:fill="FFFFFF"/>
          <w:lang w:val="en-US" w:eastAsia="zh-CN"/>
        </w:rPr>
      </w:pPr>
      <w:r>
        <w:rPr>
          <w:rFonts w:hint="eastAsia" w:ascii="仿宋_GB2312" w:hAnsi="宋体" w:eastAsia="仿宋_GB2312" w:cs="仿宋_GB2312"/>
          <w:i w:val="0"/>
          <w:iCs w:val="0"/>
          <w:caps w:val="0"/>
          <w:color w:val="000000"/>
          <w:spacing w:val="0"/>
          <w:sz w:val="28"/>
          <w:szCs w:val="28"/>
          <w:shd w:val="clear" w:fill="FFFFFF"/>
        </w:rPr>
        <w:t>通讯地址：</w:t>
      </w:r>
      <w:r>
        <w:rPr>
          <w:rFonts w:hint="eastAsia" w:ascii="仿宋_GB2312" w:hAnsi="宋体" w:eastAsia="仿宋_GB2312" w:cs="仿宋_GB2312"/>
          <w:i w:val="0"/>
          <w:iCs w:val="0"/>
          <w:caps w:val="0"/>
          <w:color w:val="000000"/>
          <w:spacing w:val="0"/>
          <w:sz w:val="28"/>
          <w:szCs w:val="28"/>
          <w:shd w:val="clear" w:fill="FFFFFF"/>
          <w:lang w:val="en-US" w:eastAsia="zh-CN"/>
        </w:rPr>
        <w:t>横峰县龙门畈乡人民政府</w:t>
      </w:r>
      <w:bookmarkStart w:id="2" w:name="_GoBack"/>
      <w:bookmarkEnd w:id="2"/>
    </w:p>
    <w:p>
      <w:pPr>
        <w:spacing w:beforeLines="0" w:afterLines="0"/>
        <w:jc w:val="left"/>
        <w:rPr>
          <w:rFonts w:hint="eastAsia" w:ascii="微软雅黑" w:hAnsi="微软雅黑" w:eastAsia="微软雅黑"/>
          <w:color w:val="000000"/>
          <w:sz w:val="27"/>
          <w:szCs w:val="24"/>
          <w:lang w:val="en-US" w:eastAsia="zh-CN"/>
        </w:rPr>
      </w:pPr>
    </w:p>
    <w:p>
      <w:pPr>
        <w:spacing w:beforeLines="0" w:afterLines="0"/>
        <w:jc w:val="left"/>
        <w:rPr>
          <w:rFonts w:hint="eastAsia" w:ascii="仿宋" w:hAnsi="仿宋" w:eastAsia="仿宋"/>
          <w:b/>
          <w:bCs/>
          <w:color w:val="000000"/>
          <w:sz w:val="27"/>
          <w:szCs w:val="24"/>
        </w:rPr>
      </w:pPr>
      <w:r>
        <w:rPr>
          <w:rFonts w:hint="eastAsia" w:ascii="仿宋" w:hAnsi="仿宋" w:eastAsia="仿宋"/>
          <w:b/>
          <w:bCs/>
          <w:color w:val="000000"/>
          <w:sz w:val="27"/>
          <w:szCs w:val="24"/>
        </w:rPr>
        <w:t>附图：横峰县龙门畈</w:t>
      </w:r>
      <w:r>
        <w:rPr>
          <w:rFonts w:hint="eastAsia" w:ascii="仿宋" w:hAnsi="仿宋" w:eastAsia="仿宋"/>
          <w:b/>
          <w:bCs/>
          <w:color w:val="000000"/>
          <w:sz w:val="27"/>
          <w:szCs w:val="24"/>
          <w:lang w:val="en-US" w:eastAsia="zh-CN"/>
        </w:rPr>
        <w:t>乡</w:t>
      </w:r>
      <w:r>
        <w:rPr>
          <w:rFonts w:hint="eastAsia" w:ascii="仿宋" w:hAnsi="仿宋" w:eastAsia="仿宋"/>
          <w:b/>
          <w:bCs/>
          <w:color w:val="000000"/>
          <w:sz w:val="27"/>
          <w:szCs w:val="24"/>
        </w:rPr>
        <w:t>全域土地综合整治项目分布图</w:t>
      </w:r>
    </w:p>
    <w:p>
      <w:pPr>
        <w:rPr>
          <w:rFonts w:hint="eastAsia"/>
          <w:lang w:val="en-US" w:eastAsia="zh-CN"/>
        </w:rPr>
        <w:sectPr>
          <w:pgSz w:w="11906" w:h="16838"/>
          <w:pgMar w:top="1440" w:right="1800" w:bottom="1440" w:left="1800" w:header="851" w:footer="992" w:gutter="0"/>
          <w:cols w:space="425" w:num="1"/>
          <w:docGrid w:type="lines" w:linePitch="312" w:charSpace="0"/>
        </w:sectPr>
      </w:pPr>
    </w:p>
    <w:p>
      <w:pPr>
        <w:spacing w:beforeLines="0" w:afterLines="0"/>
        <w:jc w:val="center"/>
        <w:rPr>
          <w:rFonts w:hint="eastAsia" w:eastAsia="宋体"/>
          <w:lang w:eastAsia="zh-CN"/>
        </w:rPr>
      </w:pPr>
      <w:r>
        <w:rPr>
          <w:rFonts w:hint="eastAsia" w:eastAsia="宋体"/>
          <w:lang w:eastAsia="zh-CN"/>
        </w:rPr>
        <w:drawing>
          <wp:inline distT="0" distB="0" distL="114300" distR="114300">
            <wp:extent cx="5262880" cy="7373620"/>
            <wp:effectExtent l="0" t="0" r="13970" b="17780"/>
            <wp:docPr id="1" name="图片 1" descr="微信图片_2025-09-15_113925_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9-15_113925_648"/>
                    <pic:cNvPicPr>
                      <a:picLocks noChangeAspect="1"/>
                    </pic:cNvPicPr>
                  </pic:nvPicPr>
                  <pic:blipFill>
                    <a:blip r:embed="rId4"/>
                    <a:stretch>
                      <a:fillRect/>
                    </a:stretch>
                  </pic:blipFill>
                  <pic:spPr>
                    <a:xfrm>
                      <a:off x="0" y="0"/>
                      <a:ext cx="5262880" cy="7373620"/>
                    </a:xfrm>
                    <a:prstGeom prst="rect">
                      <a:avLst/>
                    </a:prstGeom>
                  </pic:spPr>
                </pic:pic>
              </a:graphicData>
            </a:graphic>
          </wp:inline>
        </w:drawing>
      </w: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Droid Sans Fallbac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Droid Sans Fallbac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Droid Sans Fallback">
    <w:panose1 w:val="020B0502000000000001"/>
    <w:charset w:val="86"/>
    <w:family w:val="auto"/>
    <w:pitch w:val="default"/>
    <w:sig w:usb0="910002FF" w:usb1="2BDFFCFB" w:usb2="00000036" w:usb3="00000000" w:csb0="203F01FF" w:csb1="D7FF0000"/>
  </w:font>
  <w:font w:name="等线 Light">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_GB2312">
    <w:altName w:val="Droid Sans Fallback"/>
    <w:panose1 w:val="02010609030101010101"/>
    <w:charset w:val="86"/>
    <w:family w:val="modern"/>
    <w:pitch w:val="default"/>
    <w:sig w:usb0="00000000" w:usb1="00000000" w:usb2="00000000" w:usb3="00000000" w:csb0="00040000" w:csb1="00000000"/>
  </w:font>
  <w:font w:name="微软雅黑">
    <w:altName w:val="Droid Sans Fallback"/>
    <w:panose1 w:val="020B0503020204020204"/>
    <w:charset w:val="86"/>
    <w:family w:val="auto"/>
    <w:pitch w:val="default"/>
    <w:sig w:usb0="00000000" w:usb1="00000000" w:usb2="00000016" w:usb3="00000000" w:csb0="0004001F" w:csb1="00000000"/>
  </w:font>
  <w:font w:name="仿宋">
    <w:altName w:val="Droid Sans Fallback"/>
    <w:panose1 w:val="02010609060101010101"/>
    <w:charset w:val="86"/>
    <w:family w:val="swiss"/>
    <w:pitch w:val="default"/>
    <w:sig w:usb0="00000000" w:usb1="00000000" w:usb2="00000016" w:usb3="00000000" w:csb0="00040001" w:csb1="0000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13AAA3"/>
    <w:multiLevelType w:val="singleLevel"/>
    <w:tmpl w:val="3313AAA3"/>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BA4058"/>
    <w:rsid w:val="0EA06A6E"/>
    <w:rsid w:val="131F6FC3"/>
    <w:rsid w:val="29FF6305"/>
    <w:rsid w:val="2CF77BEB"/>
    <w:rsid w:val="2F773A43"/>
    <w:rsid w:val="3241299B"/>
    <w:rsid w:val="4EBA4058"/>
    <w:rsid w:val="67A50C07"/>
    <w:rsid w:val="70C06D09"/>
    <w:rsid w:val="73DF1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9"/>
    <w:pPr>
      <w:spacing w:line="360" w:lineRule="auto"/>
      <w:outlineLvl w:val="2"/>
    </w:pPr>
    <w:rPr>
      <w:b/>
      <w:bCs/>
      <w:sz w:val="32"/>
      <w:szCs w:val="32"/>
    </w:rPr>
  </w:style>
  <w:style w:type="paragraph" w:styleId="3">
    <w:name w:val="heading 4"/>
    <w:basedOn w:val="1"/>
    <w:next w:val="1"/>
    <w:semiHidden/>
    <w:unhideWhenUsed/>
    <w:qFormat/>
    <w:uiPriority w:val="9"/>
    <w:pPr>
      <w:keepNext/>
      <w:keepLines/>
      <w:spacing w:after="100" w:line="240" w:lineRule="auto"/>
      <w:ind w:firstLine="1044" w:firstLineChars="200"/>
      <w:outlineLvl w:val="3"/>
    </w:pPr>
    <w:rPr>
      <w:rFonts w:ascii="等线 Light" w:hAnsi="等线 Light" w:eastAsia="等线 Light"/>
      <w:b/>
      <w:bCs/>
      <w:sz w:val="28"/>
      <w:szCs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2145</Words>
  <Characters>2242</Characters>
  <Lines>0</Lines>
  <Paragraphs>0</Paragraphs>
  <TotalTime>1</TotalTime>
  <ScaleCrop>false</ScaleCrop>
  <LinksUpToDate>false</LinksUpToDate>
  <CharactersWithSpaces>2242</CharactersWithSpaces>
  <Application>WPS Office_11.1.0.11719_F1E327BC-269C-435d-A152-05C5408002CA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2025-07-18T18:40:00Z</dcterms:created>
  <dc:creator>Mr.杨</dc:creator>
  <cp:lastModifiedBy>ccc</cp:lastModifiedBy>
  <dcterms:modified xsi:type="dcterms:W3CDTF">2025-09-15T11:44:23Z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2052-11.1.0.11719</vt:lpwstr>
  </property>
  <property fmtid="{D5CDD505-2E9C-101B-9397-08002B2CF9AE}" pid="3" name="ICV">
    <vt:lpwstr>E50D541BBC4643FBA3B7ADF8A6382BD4_11</vt:lpwstr>
  </property>
  <property fmtid="{D5CDD505-2E9C-101B-9397-08002B2CF9AE}" pid="4" name="KSOTemplateDocerSaveRecord">
    <vt:lpwstr>eyJoZGlkIjoiY2RlNzVmNWRmMDRhY2M2Mjg5MDA4MGU4NTE3YjdlZDkiLCJ1c2VySWQiOiIxMDMxMjIzNDQ5In0=</vt:lpwstr>
  </property>
</Properties>
</file>